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6F7D" w14:textId="39E6517E" w:rsidR="0026785A" w:rsidRDefault="009D3587" w:rsidP="00792773">
      <w:pPr>
        <w:tabs>
          <w:tab w:val="left" w:pos="0"/>
        </w:tabs>
        <w:spacing w:before="240"/>
        <w:jc w:val="both"/>
        <w:rPr>
          <w:rFonts w:ascii="Arial Narrow" w:eastAsiaTheme="majorEastAsia" w:hAnsi="Arial Narrow" w:cs="Arial"/>
          <w:caps/>
          <w:color w:val="45BFF2"/>
          <w:spacing w:val="-10"/>
          <w:kern w:val="28"/>
          <w:sz w:val="32"/>
          <w:szCs w:val="32"/>
        </w:rPr>
      </w:pPr>
      <w:r w:rsidRPr="005A276E">
        <w:rPr>
          <w:rFonts w:ascii="Arial Narrow" w:eastAsiaTheme="majorEastAsia" w:hAnsi="Arial Narrow" w:cs="Arial"/>
          <w:caps/>
          <w:color w:val="45BFF2"/>
          <w:spacing w:val="-10"/>
          <w:kern w:val="28"/>
          <w:sz w:val="32"/>
          <w:szCs w:val="32"/>
        </w:rPr>
        <w:t>a</w:t>
      </w:r>
      <w:r>
        <w:rPr>
          <w:rFonts w:ascii="Arial Narrow" w:eastAsiaTheme="majorEastAsia" w:hAnsi="Arial Narrow" w:cs="Arial"/>
          <w:caps/>
          <w:color w:val="45BFF2"/>
          <w:spacing w:val="-10"/>
          <w:kern w:val="28"/>
          <w:sz w:val="32"/>
          <w:szCs w:val="32"/>
        </w:rPr>
        <w:t>wp</w:t>
      </w:r>
      <w:r w:rsidRPr="005A276E">
        <w:rPr>
          <w:rFonts w:ascii="Arial Narrow" w:eastAsiaTheme="majorEastAsia" w:hAnsi="Arial Narrow" w:cs="Arial"/>
          <w:caps/>
          <w:color w:val="45BFF2"/>
          <w:spacing w:val="-10"/>
          <w:kern w:val="28"/>
          <w:sz w:val="32"/>
          <w:szCs w:val="32"/>
        </w:rPr>
        <w:t xml:space="preserve"> </w:t>
      </w:r>
      <w:r w:rsidRPr="005A276E">
        <w:rPr>
          <w:rFonts w:ascii="Arial Narrow" w:hAnsi="Arial Narrow" w:cs="Arial"/>
          <w:color w:val="45BFF2"/>
          <w:sz w:val="32"/>
          <w:szCs w:val="32"/>
        </w:rPr>
        <w:t>4.</w:t>
      </w:r>
      <w:r w:rsidR="00981710" w:rsidRPr="0026785A">
        <w:rPr>
          <w:rFonts w:ascii="Arial Narrow" w:eastAsiaTheme="majorEastAsia" w:hAnsi="Arial Narrow" w:cs="Arial"/>
          <w:caps/>
          <w:color w:val="45BFF2"/>
          <w:spacing w:val="-10"/>
          <w:kern w:val="28"/>
          <w:sz w:val="32"/>
          <w:szCs w:val="32"/>
        </w:rPr>
        <w:t>7</w:t>
      </w:r>
    </w:p>
    <w:p w14:paraId="052F342D" w14:textId="1A68E59C" w:rsidR="00792773" w:rsidRPr="00C150B3" w:rsidRDefault="00792773" w:rsidP="00792773">
      <w:pPr>
        <w:tabs>
          <w:tab w:val="left" w:pos="0"/>
        </w:tabs>
        <w:spacing w:before="240"/>
        <w:jc w:val="both"/>
        <w:rPr>
          <w:rFonts w:cs="Times New Roman"/>
          <w:b/>
          <w:bCs/>
          <w:color w:val="00528E"/>
        </w:rPr>
      </w:pPr>
      <w:r w:rsidRPr="0026785A">
        <w:rPr>
          <w:rFonts w:ascii="Arial Narrow" w:eastAsia="Oswald" w:hAnsi="Arial Narrow" w:cs="Arial"/>
          <w:b/>
          <w:bCs/>
          <w:caps/>
          <w:color w:val="00548E"/>
          <w:sz w:val="40"/>
          <w:szCs w:val="40"/>
        </w:rPr>
        <w:t>Sample of Audit Engagement Letter</w:t>
      </w:r>
    </w:p>
    <w:p w14:paraId="7EF15F3E" w14:textId="77777777" w:rsidR="00792773" w:rsidRPr="00754CA4" w:rsidRDefault="00792773" w:rsidP="00792773">
      <w:pPr>
        <w:snapToGrid w:val="0"/>
        <w:rPr>
          <w:rFonts w:eastAsia="MS Mincho" w:cs="Arial"/>
          <w:sz w:val="28"/>
          <w:szCs w:val="28"/>
        </w:rPr>
      </w:pPr>
    </w:p>
    <w:tbl>
      <w:tblPr>
        <w:tblStyle w:val="Tablaconcuadrcula2"/>
        <w:tblW w:w="0" w:type="auto"/>
        <w:tblBorders>
          <w:top w:val="single" w:sz="12" w:space="0" w:color="00538E"/>
          <w:left w:val="single" w:sz="12" w:space="0" w:color="00538E"/>
          <w:bottom w:val="single" w:sz="12" w:space="0" w:color="00538E"/>
          <w:right w:val="single" w:sz="12" w:space="0" w:color="00538E"/>
          <w:insideH w:val="single" w:sz="12" w:space="0" w:color="00538E"/>
          <w:insideV w:val="single" w:sz="12" w:space="0" w:color="00538E"/>
        </w:tblBorders>
        <w:tblLook w:val="04A0" w:firstRow="1" w:lastRow="0" w:firstColumn="1" w:lastColumn="0" w:noHBand="0" w:noVBand="1"/>
      </w:tblPr>
      <w:tblGrid>
        <w:gridCol w:w="8996"/>
      </w:tblGrid>
      <w:tr w:rsidR="00792773" w:rsidRPr="00B4129F" w14:paraId="3A982FC8" w14:textId="77777777" w:rsidTr="00494B24">
        <w:trPr>
          <w:trHeight w:val="4401"/>
        </w:trPr>
        <w:tc>
          <w:tcPr>
            <w:tcW w:w="9730" w:type="dxa"/>
          </w:tcPr>
          <w:p w14:paraId="0CDFC911" w14:textId="77777777" w:rsidR="00792773" w:rsidRPr="005475BD" w:rsidRDefault="00792773" w:rsidP="00494B24">
            <w:pPr>
              <w:snapToGrid w:val="0"/>
              <w:spacing w:before="22" w:after="22" w:line="259" w:lineRule="auto"/>
              <w:rPr>
                <w:rFonts w:ascii="Aptos" w:eastAsia="Times New Roman" w:hAnsi="Aptos" w:cs="Tahoma"/>
                <w:b/>
                <w:bCs/>
                <w:color w:val="44546A" w:themeColor="text2"/>
                <w:sz w:val="20"/>
                <w:szCs w:val="20"/>
              </w:rPr>
            </w:pPr>
            <w:r w:rsidRPr="005475BD">
              <w:rPr>
                <w:rFonts w:ascii="Aptos" w:eastAsia="Times New Roman" w:hAnsi="Aptos" w:cs="Tahoma"/>
                <w:b/>
                <w:bCs/>
                <w:color w:val="44546A" w:themeColor="text2"/>
                <w:sz w:val="20"/>
                <w:szCs w:val="20"/>
              </w:rPr>
              <w:t>Engagement Reference No.</w:t>
            </w:r>
            <w:r w:rsidRPr="005475BD">
              <w:rPr>
                <w:rFonts w:ascii="Aptos" w:eastAsia="Times New Roman" w:hAnsi="Aptos" w:cs="Tahoma"/>
                <w:b/>
                <w:bCs/>
                <w:color w:val="44546A" w:themeColor="text2"/>
                <w:sz w:val="20"/>
                <w:szCs w:val="20"/>
              </w:rPr>
              <w:tab/>
              <w:t xml:space="preserve"> </w:t>
            </w:r>
            <w:r w:rsidRPr="005475BD">
              <w:rPr>
                <w:rFonts w:ascii="Aptos" w:eastAsia="Times New Roman" w:hAnsi="Aptos" w:cs="Tahoma"/>
                <w:b/>
                <w:bCs/>
                <w:color w:val="44546A" w:themeColor="text2"/>
                <w:sz w:val="20"/>
                <w:szCs w:val="20"/>
              </w:rPr>
              <w:tab/>
            </w:r>
            <w:r w:rsidRPr="005475BD">
              <w:rPr>
                <w:rFonts w:ascii="Aptos" w:eastAsia="Times New Roman" w:hAnsi="Aptos" w:cs="Tahoma"/>
                <w:b/>
                <w:bCs/>
                <w:color w:val="44546A" w:themeColor="text2"/>
                <w:sz w:val="20"/>
                <w:szCs w:val="20"/>
              </w:rPr>
              <w:tab/>
            </w:r>
            <w:r w:rsidRPr="005475BD">
              <w:rPr>
                <w:rFonts w:ascii="Aptos" w:eastAsia="Times New Roman" w:hAnsi="Aptos" w:cs="Tahoma"/>
                <w:b/>
                <w:bCs/>
                <w:color w:val="44546A" w:themeColor="text2"/>
                <w:sz w:val="20"/>
                <w:szCs w:val="20"/>
              </w:rPr>
              <w:tab/>
            </w:r>
            <w:r w:rsidRPr="005475BD">
              <w:rPr>
                <w:rFonts w:ascii="Aptos" w:eastAsia="Times New Roman" w:hAnsi="Aptos" w:cs="Tahoma"/>
                <w:b/>
                <w:bCs/>
                <w:color w:val="44546A" w:themeColor="text2"/>
                <w:sz w:val="20"/>
                <w:szCs w:val="20"/>
              </w:rPr>
              <w:tab/>
              <w:t xml:space="preserve">     Dated: …………..</w:t>
            </w:r>
          </w:p>
          <w:p w14:paraId="00313A51" w14:textId="77777777" w:rsidR="00792773" w:rsidRPr="00B4129F" w:rsidRDefault="00792773" w:rsidP="00494B24">
            <w:pPr>
              <w:snapToGrid w:val="0"/>
              <w:spacing w:before="22" w:after="22" w:line="259" w:lineRule="auto"/>
              <w:rPr>
                <w:rFonts w:asciiTheme="minorHAnsi" w:hAnsiTheme="minorHAnsi" w:cstheme="minorHAnsi"/>
                <w:b/>
                <w:sz w:val="20"/>
                <w:szCs w:val="20"/>
              </w:rPr>
            </w:pPr>
            <w:r w:rsidRPr="00B4129F">
              <w:rPr>
                <w:rFonts w:asciiTheme="minorHAnsi" w:hAnsiTheme="minorHAnsi" w:cstheme="minorHAnsi"/>
                <w:b/>
                <w:smallCaps/>
                <w:sz w:val="20"/>
                <w:szCs w:val="20"/>
              </w:rPr>
              <w:t xml:space="preserve">          </w:t>
            </w:r>
          </w:p>
          <w:p w14:paraId="7B96DE2F" w14:textId="77777777" w:rsidR="00792773" w:rsidRPr="005475BD" w:rsidRDefault="00792773" w:rsidP="005475BD">
            <w:pPr>
              <w:snapToGrid w:val="0"/>
              <w:spacing w:before="22" w:after="22" w:line="259" w:lineRule="auto"/>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The Head of the Entity (Head of Management or those charged with governance)</w:t>
            </w:r>
          </w:p>
          <w:p w14:paraId="65D6AA15" w14:textId="77777777" w:rsidR="00792773" w:rsidRPr="005475BD" w:rsidRDefault="00792773" w:rsidP="00494B24">
            <w:pPr>
              <w:snapToGrid w:val="0"/>
              <w:spacing w:before="22" w:after="22" w:line="259" w:lineRule="auto"/>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XYZ entity</w:t>
            </w:r>
          </w:p>
          <w:p w14:paraId="7747DD57" w14:textId="77777777" w:rsidR="00792773" w:rsidRPr="005475BD" w:rsidRDefault="00792773" w:rsidP="00494B24">
            <w:pPr>
              <w:snapToGrid w:val="0"/>
              <w:spacing w:before="22" w:after="22" w:line="259" w:lineRule="auto"/>
              <w:jc w:val="both"/>
              <w:rPr>
                <w:rFonts w:ascii="Aptos" w:eastAsia="Times New Roman" w:hAnsi="Aptos" w:cs="Tahoma"/>
                <w:color w:val="44546A" w:themeColor="text2"/>
                <w:sz w:val="20"/>
                <w:szCs w:val="20"/>
              </w:rPr>
            </w:pPr>
          </w:p>
          <w:p w14:paraId="1B033A29" w14:textId="77777777" w:rsidR="00792773" w:rsidRPr="005475BD" w:rsidRDefault="00792773" w:rsidP="00494B24">
            <w:pPr>
              <w:snapToGrid w:val="0"/>
              <w:spacing w:before="22" w:after="22" w:line="259" w:lineRule="auto"/>
              <w:jc w:val="both"/>
              <w:rPr>
                <w:rFonts w:ascii="Aptos" w:eastAsia="Times New Roman" w:hAnsi="Aptos" w:cs="Tahoma"/>
                <w:color w:val="44546A" w:themeColor="text2"/>
                <w:sz w:val="20"/>
                <w:szCs w:val="20"/>
              </w:rPr>
            </w:pPr>
          </w:p>
          <w:p w14:paraId="65DAEB91" w14:textId="77777777" w:rsidR="00792773" w:rsidRPr="005475BD" w:rsidRDefault="00792773" w:rsidP="00494B24">
            <w:pPr>
              <w:snapToGrid w:val="0"/>
              <w:spacing w:before="22" w:after="22" w:line="259" w:lineRule="auto"/>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Sir/Madam,</w:t>
            </w:r>
          </w:p>
          <w:p w14:paraId="1A8C0E1E" w14:textId="77777777" w:rsidR="00792773" w:rsidRPr="00B4129F" w:rsidRDefault="00792773" w:rsidP="00494B24">
            <w:pPr>
              <w:snapToGrid w:val="0"/>
              <w:spacing w:before="22" w:after="22" w:line="259" w:lineRule="auto"/>
              <w:jc w:val="both"/>
              <w:rPr>
                <w:rFonts w:asciiTheme="minorHAnsi" w:hAnsiTheme="minorHAnsi" w:cstheme="minorHAnsi"/>
                <w:sz w:val="20"/>
                <w:szCs w:val="20"/>
              </w:rPr>
            </w:pPr>
          </w:p>
          <w:p w14:paraId="0A0652B8" w14:textId="77777777" w:rsidR="00792773" w:rsidRPr="005475BD" w:rsidRDefault="00792773" w:rsidP="005475BD">
            <w:pPr>
              <w:shd w:val="clear" w:color="auto" w:fill="00538E"/>
              <w:autoSpaceDE w:val="0"/>
              <w:autoSpaceDN w:val="0"/>
              <w:adjustRightInd w:val="0"/>
              <w:snapToGrid w:val="0"/>
              <w:spacing w:before="22" w:after="22" w:line="259" w:lineRule="auto"/>
              <w:jc w:val="both"/>
              <w:rPr>
                <w:rFonts w:ascii="Aptos" w:eastAsia="Times New Roman" w:hAnsi="Aptos" w:cs="Tahoma"/>
                <w:b/>
                <w:bCs/>
                <w:color w:val="FFFFFF"/>
                <w:sz w:val="20"/>
                <w:szCs w:val="20"/>
              </w:rPr>
            </w:pPr>
            <w:r w:rsidRPr="005475BD">
              <w:rPr>
                <w:rFonts w:ascii="Aptos" w:eastAsia="Times New Roman" w:hAnsi="Aptos" w:cs="Tahoma"/>
                <w:b/>
                <w:bCs/>
                <w:color w:val="FFFFFF"/>
                <w:sz w:val="20"/>
                <w:szCs w:val="20"/>
              </w:rPr>
              <w:t>The objective and scope of audit</w:t>
            </w:r>
          </w:p>
          <w:p w14:paraId="2FA00AB4" w14:textId="77777777" w:rsidR="00792773" w:rsidRPr="00B4129F" w:rsidRDefault="00792773" w:rsidP="00494B24">
            <w:pPr>
              <w:snapToGrid w:val="0"/>
              <w:spacing w:before="22" w:after="22" w:line="259" w:lineRule="auto"/>
              <w:jc w:val="both"/>
              <w:rPr>
                <w:rFonts w:asciiTheme="minorHAnsi" w:hAnsiTheme="minorHAnsi" w:cstheme="minorHAnsi"/>
                <w:sz w:val="20"/>
                <w:szCs w:val="20"/>
              </w:rPr>
            </w:pPr>
          </w:p>
          <w:p w14:paraId="29C75529" w14:textId="77777777" w:rsidR="00792773" w:rsidRPr="005475BD" w:rsidRDefault="00792773" w:rsidP="00494B24">
            <w:pPr>
              <w:snapToGrid w:val="0"/>
              <w:spacing w:before="22" w:after="22" w:line="259" w:lineRule="auto"/>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As required under the SAI Audit Act and …. (other relevant laws), the SAI of …. (insert name of country) will conduct the audit of the Financial Statement of the XYZ entity, which comprise Statement of Financial Position as at 31 December 20X1, Statement of comprehensive income, Statement of changes in equity, and Statement of cash flows for the year then ended, and notes to financial statements, including a summary of significant accounting policies (these are names of financial statements prepared on accrual basis, and names as provided in IFRS. In case of cash based accounting, the financial statement could comprise of Receipts and Payments Statements or Cash Receipts and Cash Payments, and Statement of Expenditure for the year ended 31 December 2016). This is a mandated audit as required by the Laws. We further confirm our understanding of this audit engagement by means of this letter.</w:t>
            </w:r>
          </w:p>
          <w:p w14:paraId="5F1AE175" w14:textId="77777777" w:rsidR="00792773" w:rsidRPr="005475BD" w:rsidRDefault="00792773" w:rsidP="00494B24">
            <w:pPr>
              <w:snapToGrid w:val="0"/>
              <w:spacing w:before="22" w:after="22" w:line="259" w:lineRule="auto"/>
              <w:jc w:val="both"/>
              <w:rPr>
                <w:rFonts w:ascii="Aptos" w:eastAsia="Times New Roman" w:hAnsi="Aptos" w:cs="Tahoma"/>
                <w:color w:val="44546A" w:themeColor="text2"/>
                <w:sz w:val="20"/>
                <w:szCs w:val="20"/>
              </w:rPr>
            </w:pPr>
          </w:p>
          <w:p w14:paraId="25481DFF" w14:textId="77777777" w:rsidR="00792773" w:rsidRPr="005475BD" w:rsidRDefault="00792773" w:rsidP="00494B24">
            <w:pPr>
              <w:snapToGrid w:val="0"/>
              <w:spacing w:before="22" w:after="22" w:line="259" w:lineRule="auto"/>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The objectives of our audit are to obtain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International Standards of Supreme Audit Institutions (ISSAIs)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14:paraId="5AB386F8" w14:textId="77777777" w:rsidR="00792773" w:rsidRPr="00B4129F" w:rsidRDefault="00792773" w:rsidP="00494B24">
            <w:pPr>
              <w:snapToGrid w:val="0"/>
              <w:spacing w:before="22" w:after="22" w:line="259" w:lineRule="auto"/>
              <w:jc w:val="both"/>
              <w:rPr>
                <w:rFonts w:asciiTheme="minorHAnsi" w:hAnsiTheme="minorHAnsi" w:cstheme="minorHAnsi"/>
                <w:b/>
                <w:sz w:val="20"/>
                <w:szCs w:val="20"/>
              </w:rPr>
            </w:pPr>
          </w:p>
          <w:p w14:paraId="344DAEF0" w14:textId="77777777" w:rsidR="00792773" w:rsidRPr="005475BD" w:rsidRDefault="00792773" w:rsidP="005475BD">
            <w:pPr>
              <w:shd w:val="clear" w:color="auto" w:fill="00538E"/>
              <w:autoSpaceDE w:val="0"/>
              <w:autoSpaceDN w:val="0"/>
              <w:adjustRightInd w:val="0"/>
              <w:snapToGrid w:val="0"/>
              <w:spacing w:before="22" w:after="22" w:line="259" w:lineRule="auto"/>
              <w:jc w:val="both"/>
              <w:rPr>
                <w:rFonts w:ascii="Aptos" w:eastAsia="Times New Roman" w:hAnsi="Aptos" w:cs="Tahoma"/>
                <w:b/>
                <w:bCs/>
                <w:color w:val="FFFFFF"/>
                <w:sz w:val="20"/>
                <w:szCs w:val="20"/>
              </w:rPr>
            </w:pPr>
            <w:r w:rsidRPr="005475BD">
              <w:rPr>
                <w:rFonts w:ascii="Aptos" w:eastAsia="Times New Roman" w:hAnsi="Aptos" w:cs="Tahoma"/>
                <w:b/>
                <w:bCs/>
                <w:color w:val="FFFFFF"/>
                <w:sz w:val="20"/>
                <w:szCs w:val="20"/>
              </w:rPr>
              <w:t>Responsibilities of the Auditors</w:t>
            </w:r>
          </w:p>
          <w:p w14:paraId="233CF4AC" w14:textId="77777777" w:rsidR="00792773" w:rsidRPr="00B4129F" w:rsidRDefault="00792773" w:rsidP="00494B24">
            <w:pPr>
              <w:snapToGrid w:val="0"/>
              <w:spacing w:before="22" w:after="22" w:line="259" w:lineRule="auto"/>
              <w:jc w:val="both"/>
              <w:rPr>
                <w:rFonts w:asciiTheme="minorHAnsi" w:hAnsiTheme="minorHAnsi" w:cstheme="minorHAnsi"/>
                <w:sz w:val="20"/>
                <w:szCs w:val="20"/>
              </w:rPr>
            </w:pPr>
          </w:p>
          <w:p w14:paraId="748328E6" w14:textId="77777777" w:rsidR="00792773" w:rsidRPr="005475BD" w:rsidRDefault="00792773" w:rsidP="00494B24">
            <w:pPr>
              <w:snapToGrid w:val="0"/>
              <w:spacing w:before="22" w:after="22" w:line="259" w:lineRule="auto"/>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We will conduct our audit in accordance with International Standards of Supreme Audit Intuitions (ISSAIs). Those standards require that we comply with ethical requirements. As a part of an audit in accordance with ISSAIs, we exercise professional judgement and maintain professional scepticism throughout the audit. We also:</w:t>
            </w:r>
          </w:p>
          <w:p w14:paraId="66C4E528" w14:textId="77777777" w:rsidR="00792773" w:rsidRPr="005475BD" w:rsidRDefault="00792773" w:rsidP="00494B24">
            <w:pPr>
              <w:autoSpaceDE w:val="0"/>
              <w:autoSpaceDN w:val="0"/>
              <w:adjustRightInd w:val="0"/>
              <w:snapToGrid w:val="0"/>
              <w:spacing w:before="22" w:after="22" w:line="259" w:lineRule="auto"/>
              <w:rPr>
                <w:rFonts w:ascii="Aptos" w:eastAsia="Times New Roman" w:hAnsi="Aptos" w:cs="Tahoma"/>
                <w:color w:val="44546A" w:themeColor="text2"/>
                <w:sz w:val="20"/>
                <w:szCs w:val="20"/>
              </w:rPr>
            </w:pPr>
          </w:p>
          <w:p w14:paraId="2A981510" w14:textId="77777777" w:rsidR="00792773" w:rsidRPr="005475BD" w:rsidRDefault="00792773" w:rsidP="00494B24">
            <w:pPr>
              <w:numPr>
                <w:ilvl w:val="0"/>
                <w:numId w:val="1"/>
              </w:numPr>
              <w:autoSpaceDE w:val="0"/>
              <w:autoSpaceDN w:val="0"/>
              <w:adjustRightInd w:val="0"/>
              <w:snapToGrid w:val="0"/>
              <w:spacing w:before="22" w:after="22" w:line="259" w:lineRule="auto"/>
              <w:contextualSpacing/>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Identify and assess the risks of material misstatement of the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276CBF03" w14:textId="77777777" w:rsidR="00792773" w:rsidRPr="005475BD" w:rsidRDefault="00792773" w:rsidP="00494B24">
            <w:pPr>
              <w:autoSpaceDE w:val="0"/>
              <w:autoSpaceDN w:val="0"/>
              <w:adjustRightInd w:val="0"/>
              <w:snapToGrid w:val="0"/>
              <w:spacing w:before="22" w:after="22" w:line="259" w:lineRule="auto"/>
              <w:ind w:left="720"/>
              <w:contextualSpacing/>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lastRenderedPageBreak/>
              <w:t xml:space="preserve"> </w:t>
            </w:r>
          </w:p>
          <w:p w14:paraId="11E89269" w14:textId="77777777" w:rsidR="00792773" w:rsidRPr="005475BD" w:rsidRDefault="00792773" w:rsidP="00494B24">
            <w:pPr>
              <w:numPr>
                <w:ilvl w:val="0"/>
                <w:numId w:val="1"/>
              </w:numPr>
              <w:autoSpaceDE w:val="0"/>
              <w:autoSpaceDN w:val="0"/>
              <w:adjustRightInd w:val="0"/>
              <w:snapToGrid w:val="0"/>
              <w:spacing w:before="22" w:after="22" w:line="259" w:lineRule="auto"/>
              <w:contextualSpacing/>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Obtain an understanding of internal control relevant to audit in order to design audit procedures that are appropriate in the circumstances, but not for the purpose of expressing an opinion on the effectiveness of the entity’s internal control. However, we will communicate to you in writing concerning any significant deficiencies in internal control relevant to the audit of the financial statements that we have identified during the audit.</w:t>
            </w:r>
          </w:p>
          <w:p w14:paraId="22458217" w14:textId="77777777" w:rsidR="00792773" w:rsidRPr="005475BD" w:rsidRDefault="00792773" w:rsidP="00494B24">
            <w:pPr>
              <w:autoSpaceDE w:val="0"/>
              <w:autoSpaceDN w:val="0"/>
              <w:adjustRightInd w:val="0"/>
              <w:snapToGrid w:val="0"/>
              <w:spacing w:before="22" w:after="22" w:line="259" w:lineRule="auto"/>
              <w:jc w:val="both"/>
              <w:rPr>
                <w:rFonts w:ascii="Aptos" w:eastAsia="Times New Roman" w:hAnsi="Aptos" w:cs="Tahoma"/>
                <w:color w:val="44546A" w:themeColor="text2"/>
                <w:sz w:val="20"/>
                <w:szCs w:val="20"/>
              </w:rPr>
            </w:pPr>
          </w:p>
          <w:p w14:paraId="5F9C6BD1" w14:textId="77777777" w:rsidR="00792773" w:rsidRPr="005475BD" w:rsidRDefault="00792773" w:rsidP="00494B24">
            <w:pPr>
              <w:numPr>
                <w:ilvl w:val="0"/>
                <w:numId w:val="1"/>
              </w:numPr>
              <w:autoSpaceDE w:val="0"/>
              <w:autoSpaceDN w:val="0"/>
              <w:adjustRightInd w:val="0"/>
              <w:snapToGrid w:val="0"/>
              <w:spacing w:before="22" w:after="22" w:line="259" w:lineRule="auto"/>
              <w:contextualSpacing/>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Evaluate the appropriateness of accounting policies used and the reasonableness of accounting estimates and related disclosures made by management.</w:t>
            </w:r>
          </w:p>
          <w:p w14:paraId="0EE12B5D" w14:textId="77777777" w:rsidR="00792773" w:rsidRPr="005475BD" w:rsidRDefault="00792773" w:rsidP="00494B24">
            <w:pPr>
              <w:spacing w:before="22" w:after="22" w:line="259" w:lineRule="auto"/>
              <w:ind w:left="720"/>
              <w:contextualSpacing/>
              <w:rPr>
                <w:rFonts w:ascii="Aptos" w:eastAsia="Times New Roman" w:hAnsi="Aptos" w:cs="Tahoma"/>
                <w:color w:val="44546A" w:themeColor="text2"/>
                <w:sz w:val="20"/>
                <w:szCs w:val="20"/>
              </w:rPr>
            </w:pPr>
          </w:p>
          <w:p w14:paraId="6F493A9E" w14:textId="77777777" w:rsidR="00792773" w:rsidRPr="005475BD" w:rsidRDefault="00792773" w:rsidP="00494B24">
            <w:pPr>
              <w:numPr>
                <w:ilvl w:val="0"/>
                <w:numId w:val="1"/>
              </w:numPr>
              <w:autoSpaceDE w:val="0"/>
              <w:autoSpaceDN w:val="0"/>
              <w:adjustRightInd w:val="0"/>
              <w:snapToGrid w:val="0"/>
              <w:spacing w:before="22" w:after="22" w:line="259" w:lineRule="auto"/>
              <w:contextualSpacing/>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Conclude on the appropriateness of management’s use of the going concern basis of accounting and, based on the audit evidence obtained, whether a material uncertainty exists related to events or conditions that may cast significant doubt on the entity’s ability to continue as a going concern. If we conclude that a material uncertainty exists, we are required to draw attention in our auditor’s report to the related disclosures in the financial statements or, if such disclosures are inadequate, to modify our opinion. Our conclusions are based on the audit evidence obtained up to the date of our auditor’s report. However, future events or conditions may cause the entity to cease to continue as a going concern.</w:t>
            </w:r>
          </w:p>
          <w:p w14:paraId="675AA333" w14:textId="77777777" w:rsidR="00792773" w:rsidRPr="005475BD" w:rsidRDefault="00792773" w:rsidP="00494B24">
            <w:pPr>
              <w:spacing w:before="22" w:after="22" w:line="259" w:lineRule="auto"/>
              <w:ind w:left="720"/>
              <w:contextualSpacing/>
              <w:rPr>
                <w:rFonts w:ascii="Aptos" w:eastAsia="Times New Roman" w:hAnsi="Aptos" w:cs="Tahoma"/>
                <w:color w:val="44546A" w:themeColor="text2"/>
                <w:sz w:val="20"/>
                <w:szCs w:val="20"/>
              </w:rPr>
            </w:pPr>
          </w:p>
          <w:p w14:paraId="1B33D9A2" w14:textId="77777777" w:rsidR="00792773" w:rsidRPr="005475BD" w:rsidRDefault="00792773" w:rsidP="00494B24">
            <w:pPr>
              <w:numPr>
                <w:ilvl w:val="0"/>
                <w:numId w:val="1"/>
              </w:numPr>
              <w:autoSpaceDE w:val="0"/>
              <w:autoSpaceDN w:val="0"/>
              <w:adjustRightInd w:val="0"/>
              <w:snapToGrid w:val="0"/>
              <w:spacing w:before="22" w:after="22" w:line="259" w:lineRule="auto"/>
              <w:contextualSpacing/>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Evaluate the overall presentation, structure and content of the financial statements, including the disclosures, and whether the financial statements represent the underlying transactions and events in a manner that achieves fair presentation.</w:t>
            </w:r>
          </w:p>
          <w:p w14:paraId="2F30EA3A" w14:textId="77777777" w:rsidR="00792773" w:rsidRPr="005475BD" w:rsidRDefault="00792773" w:rsidP="00494B24">
            <w:pPr>
              <w:autoSpaceDE w:val="0"/>
              <w:autoSpaceDN w:val="0"/>
              <w:adjustRightInd w:val="0"/>
              <w:snapToGrid w:val="0"/>
              <w:spacing w:before="22" w:after="22" w:line="259" w:lineRule="auto"/>
              <w:ind w:left="720"/>
              <w:contextualSpacing/>
              <w:jc w:val="both"/>
              <w:rPr>
                <w:rFonts w:ascii="Aptos" w:eastAsia="Times New Roman" w:hAnsi="Aptos" w:cs="Tahoma"/>
                <w:color w:val="44546A" w:themeColor="text2"/>
                <w:sz w:val="20"/>
                <w:szCs w:val="20"/>
              </w:rPr>
            </w:pPr>
          </w:p>
          <w:p w14:paraId="02968CC3" w14:textId="77777777" w:rsidR="00792773" w:rsidRPr="005475BD" w:rsidRDefault="00792773" w:rsidP="00494B24">
            <w:pPr>
              <w:snapToGrid w:val="0"/>
              <w:spacing w:before="22" w:after="22" w:line="259" w:lineRule="auto"/>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Because of the inherent limitations of an audit, together with the inherent limitations of internal control, there is an unavoidable risk that some material misstatements may not be detected, even though the audit is properly planned and performed in accordance with ISSAIs.</w:t>
            </w:r>
          </w:p>
          <w:p w14:paraId="64A2D893" w14:textId="77777777" w:rsidR="00792773" w:rsidRPr="005475BD" w:rsidRDefault="00792773" w:rsidP="00494B24">
            <w:pPr>
              <w:autoSpaceDE w:val="0"/>
              <w:autoSpaceDN w:val="0"/>
              <w:adjustRightInd w:val="0"/>
              <w:snapToGrid w:val="0"/>
              <w:spacing w:before="22" w:after="22" w:line="259" w:lineRule="auto"/>
              <w:jc w:val="both"/>
              <w:rPr>
                <w:rFonts w:ascii="Aptos" w:eastAsia="Times New Roman" w:hAnsi="Aptos" w:cs="Tahoma"/>
                <w:color w:val="44546A" w:themeColor="text2"/>
                <w:sz w:val="20"/>
                <w:szCs w:val="20"/>
              </w:rPr>
            </w:pPr>
          </w:p>
          <w:p w14:paraId="565B6109" w14:textId="77777777" w:rsidR="00792773" w:rsidRPr="005475BD" w:rsidRDefault="00792773" w:rsidP="00494B24">
            <w:pPr>
              <w:autoSpaceDE w:val="0"/>
              <w:autoSpaceDN w:val="0"/>
              <w:adjustRightInd w:val="0"/>
              <w:snapToGrid w:val="0"/>
              <w:spacing w:before="22" w:after="22" w:line="259" w:lineRule="auto"/>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We will issue audit findings in the form of audit observations from time to time during audit requiring additional information, proper explanation and appropriate action from the management.</w:t>
            </w:r>
          </w:p>
          <w:p w14:paraId="0AA67AC0" w14:textId="77777777" w:rsidR="00792773" w:rsidRPr="00B4129F" w:rsidRDefault="00792773" w:rsidP="00494B24">
            <w:pPr>
              <w:autoSpaceDE w:val="0"/>
              <w:autoSpaceDN w:val="0"/>
              <w:adjustRightInd w:val="0"/>
              <w:snapToGrid w:val="0"/>
              <w:spacing w:before="22" w:after="22" w:line="259" w:lineRule="auto"/>
              <w:jc w:val="both"/>
              <w:rPr>
                <w:rFonts w:asciiTheme="minorHAnsi" w:hAnsiTheme="minorHAnsi" w:cstheme="minorHAnsi"/>
                <w:sz w:val="20"/>
                <w:szCs w:val="20"/>
              </w:rPr>
            </w:pPr>
          </w:p>
          <w:p w14:paraId="2FBFE17B" w14:textId="77777777" w:rsidR="00792773" w:rsidRPr="005475BD" w:rsidRDefault="00792773" w:rsidP="00494B24">
            <w:pPr>
              <w:shd w:val="clear" w:color="auto" w:fill="00538E"/>
              <w:autoSpaceDE w:val="0"/>
              <w:autoSpaceDN w:val="0"/>
              <w:adjustRightInd w:val="0"/>
              <w:snapToGrid w:val="0"/>
              <w:spacing w:before="22" w:after="22" w:line="259" w:lineRule="auto"/>
              <w:jc w:val="both"/>
              <w:rPr>
                <w:rFonts w:ascii="Aptos" w:eastAsia="Times New Roman" w:hAnsi="Aptos" w:cs="Tahoma"/>
                <w:b/>
                <w:bCs/>
                <w:color w:val="FFFFFF"/>
                <w:sz w:val="20"/>
                <w:szCs w:val="20"/>
              </w:rPr>
            </w:pPr>
            <w:r w:rsidRPr="005475BD">
              <w:rPr>
                <w:rFonts w:ascii="Aptos" w:eastAsia="Times New Roman" w:hAnsi="Aptos" w:cs="Tahoma"/>
                <w:b/>
                <w:bCs/>
                <w:color w:val="FFFFFF"/>
                <w:sz w:val="20"/>
                <w:szCs w:val="20"/>
              </w:rPr>
              <w:t>Responsibilities of the management</w:t>
            </w:r>
          </w:p>
          <w:p w14:paraId="6F39FB54" w14:textId="77777777" w:rsidR="00792773" w:rsidRPr="005475BD" w:rsidRDefault="00792773" w:rsidP="00494B24">
            <w:pPr>
              <w:autoSpaceDE w:val="0"/>
              <w:autoSpaceDN w:val="0"/>
              <w:adjustRightInd w:val="0"/>
              <w:snapToGrid w:val="0"/>
              <w:spacing w:before="22" w:after="22" w:line="259" w:lineRule="auto"/>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Our audit will be conducted on the basis that [management and, where appropriate, those charged with governance] acknowledge and understand that they have responsibility:</w:t>
            </w:r>
          </w:p>
          <w:p w14:paraId="1E6BC8F1" w14:textId="77777777" w:rsidR="00792773" w:rsidRPr="00B4129F" w:rsidRDefault="00792773" w:rsidP="00494B24">
            <w:pPr>
              <w:autoSpaceDE w:val="0"/>
              <w:autoSpaceDN w:val="0"/>
              <w:adjustRightInd w:val="0"/>
              <w:snapToGrid w:val="0"/>
              <w:spacing w:before="22" w:after="22" w:line="259" w:lineRule="auto"/>
              <w:jc w:val="both"/>
              <w:rPr>
                <w:rFonts w:asciiTheme="minorHAnsi" w:hAnsiTheme="minorHAnsi" w:cstheme="minorHAnsi"/>
                <w:color w:val="000000"/>
                <w:sz w:val="20"/>
                <w:szCs w:val="20"/>
              </w:rPr>
            </w:pPr>
          </w:p>
          <w:p w14:paraId="2808901B" w14:textId="77777777" w:rsidR="00792773" w:rsidRPr="00B4129F" w:rsidRDefault="00792773" w:rsidP="00494B24">
            <w:pPr>
              <w:numPr>
                <w:ilvl w:val="0"/>
                <w:numId w:val="2"/>
              </w:numPr>
              <w:snapToGrid w:val="0"/>
              <w:spacing w:before="22" w:after="22" w:line="259" w:lineRule="auto"/>
              <w:contextualSpacing/>
              <w:jc w:val="both"/>
              <w:rPr>
                <w:rFonts w:asciiTheme="minorHAnsi" w:hAnsiTheme="minorHAnsi" w:cstheme="minorHAnsi"/>
                <w:sz w:val="20"/>
                <w:szCs w:val="20"/>
              </w:rPr>
            </w:pPr>
            <w:r w:rsidRPr="005475BD">
              <w:rPr>
                <w:rFonts w:ascii="Aptos" w:eastAsia="Times New Roman" w:hAnsi="Aptos" w:cs="Tahoma"/>
                <w:color w:val="44546A" w:themeColor="text2"/>
                <w:sz w:val="20"/>
                <w:szCs w:val="20"/>
              </w:rPr>
              <w:t>For the</w:t>
            </w:r>
            <w:r w:rsidRPr="00B4129F">
              <w:rPr>
                <w:rFonts w:asciiTheme="minorHAnsi" w:hAnsiTheme="minorHAnsi" w:cstheme="minorHAnsi"/>
                <w:sz w:val="20"/>
                <w:szCs w:val="20"/>
              </w:rPr>
              <w:t xml:space="preserve"> </w:t>
            </w:r>
            <w:r w:rsidRPr="005475BD">
              <w:rPr>
                <w:rFonts w:ascii="Aptos" w:eastAsia="Times New Roman" w:hAnsi="Aptos" w:cs="Tahoma"/>
                <w:color w:val="44546A" w:themeColor="text2"/>
                <w:sz w:val="20"/>
                <w:szCs w:val="20"/>
              </w:rPr>
              <w:t>preparation and fair presentation of the financial statements in accordance with applicable financial reporting framework (in case where entity has used fair presentation framework) Or preparation of the financial statements in accordance with applicable financial reporting framework or XYZ law of ABC jurisdiction (in case where entity has used compliance framework);</w:t>
            </w:r>
          </w:p>
          <w:p w14:paraId="6B8D2B61" w14:textId="77777777" w:rsidR="00792773" w:rsidRPr="005475BD" w:rsidRDefault="00792773" w:rsidP="00494B24">
            <w:pPr>
              <w:numPr>
                <w:ilvl w:val="0"/>
                <w:numId w:val="2"/>
              </w:numPr>
              <w:snapToGrid w:val="0"/>
              <w:spacing w:before="22" w:after="22" w:line="259" w:lineRule="auto"/>
              <w:contextualSpacing/>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For such internal control as [management] determines it necessary to enable the preparation of financial statements that are free from material misstatement, whether due to fraud or error; and</w:t>
            </w:r>
          </w:p>
          <w:p w14:paraId="21C624B2" w14:textId="77777777" w:rsidR="00792773" w:rsidRPr="005475BD" w:rsidRDefault="00792773" w:rsidP="00AE737B">
            <w:pPr>
              <w:numPr>
                <w:ilvl w:val="0"/>
                <w:numId w:val="2"/>
              </w:numPr>
              <w:snapToGrid w:val="0"/>
              <w:spacing w:before="22" w:after="22" w:line="259" w:lineRule="auto"/>
              <w:contextualSpacing/>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To provide us with:</w:t>
            </w:r>
          </w:p>
          <w:p w14:paraId="497A8F43" w14:textId="77777777" w:rsidR="00792773" w:rsidRPr="005475BD" w:rsidRDefault="00792773" w:rsidP="00494B24">
            <w:pPr>
              <w:numPr>
                <w:ilvl w:val="0"/>
                <w:numId w:val="3"/>
              </w:numPr>
              <w:snapToGrid w:val="0"/>
              <w:spacing w:before="22" w:after="22" w:line="259" w:lineRule="auto"/>
              <w:ind w:left="1276" w:hanging="283"/>
              <w:contextualSpacing/>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Access to all information of which [management] is aware that is relevant to the preparation of the financial statements such as records, documentation and other matters;</w:t>
            </w:r>
          </w:p>
          <w:p w14:paraId="7DD6EBEE" w14:textId="77777777" w:rsidR="00792773" w:rsidRPr="005475BD" w:rsidRDefault="00792773" w:rsidP="00494B24">
            <w:pPr>
              <w:numPr>
                <w:ilvl w:val="0"/>
                <w:numId w:val="3"/>
              </w:numPr>
              <w:snapToGrid w:val="0"/>
              <w:spacing w:before="22" w:after="22" w:line="259" w:lineRule="auto"/>
              <w:ind w:left="1276" w:hanging="283"/>
              <w:contextualSpacing/>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Additional information that we may request from [management] for the audit; and</w:t>
            </w:r>
          </w:p>
          <w:p w14:paraId="39260D8F" w14:textId="77777777" w:rsidR="00792773" w:rsidRPr="005475BD" w:rsidRDefault="00792773" w:rsidP="00494B24">
            <w:pPr>
              <w:numPr>
                <w:ilvl w:val="0"/>
                <w:numId w:val="3"/>
              </w:numPr>
              <w:snapToGrid w:val="0"/>
              <w:spacing w:before="22" w:after="22" w:line="259" w:lineRule="auto"/>
              <w:ind w:left="1276" w:hanging="283"/>
              <w:contextualSpacing/>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Unrestricted access to persons within the entity from whom we determine it necessary to obtain audit evidence.</w:t>
            </w:r>
          </w:p>
          <w:p w14:paraId="03E309C9" w14:textId="77777777" w:rsidR="00792773" w:rsidRPr="005475BD" w:rsidRDefault="00792773" w:rsidP="00494B24">
            <w:pPr>
              <w:snapToGrid w:val="0"/>
              <w:spacing w:before="22" w:after="22" w:line="259" w:lineRule="auto"/>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lastRenderedPageBreak/>
              <w:t>As part of our audit process, we will request from [management and, where appropriate, those charged with governance], written confirmation concerning representations made to us in connection with the audit. We look forward to full cooperation from your staff during our audit.</w:t>
            </w:r>
          </w:p>
          <w:p w14:paraId="37FB0789" w14:textId="77777777" w:rsidR="00792773" w:rsidRPr="005475BD" w:rsidRDefault="00792773" w:rsidP="00494B24">
            <w:pPr>
              <w:snapToGrid w:val="0"/>
              <w:spacing w:before="22" w:after="22" w:line="259" w:lineRule="auto"/>
              <w:jc w:val="both"/>
              <w:rPr>
                <w:rFonts w:ascii="Aptos" w:eastAsia="Times New Roman" w:hAnsi="Aptos" w:cs="Tahoma"/>
                <w:color w:val="44546A" w:themeColor="text2"/>
                <w:sz w:val="20"/>
                <w:szCs w:val="20"/>
              </w:rPr>
            </w:pPr>
          </w:p>
          <w:p w14:paraId="345CF05B" w14:textId="77777777" w:rsidR="00792773" w:rsidRPr="005475BD" w:rsidRDefault="00792773" w:rsidP="00494B24">
            <w:pPr>
              <w:shd w:val="clear" w:color="auto" w:fill="00538E"/>
              <w:autoSpaceDE w:val="0"/>
              <w:autoSpaceDN w:val="0"/>
              <w:adjustRightInd w:val="0"/>
              <w:snapToGrid w:val="0"/>
              <w:spacing w:before="22" w:after="22" w:line="259" w:lineRule="auto"/>
              <w:jc w:val="both"/>
              <w:rPr>
                <w:rFonts w:ascii="Aptos" w:eastAsia="Times New Roman" w:hAnsi="Aptos" w:cs="Tahoma"/>
                <w:b/>
                <w:bCs/>
                <w:color w:val="FFFFFF"/>
                <w:sz w:val="20"/>
                <w:szCs w:val="20"/>
              </w:rPr>
            </w:pPr>
            <w:r w:rsidRPr="005475BD">
              <w:rPr>
                <w:rFonts w:ascii="Aptos" w:eastAsia="Times New Roman" w:hAnsi="Aptos" w:cs="Tahoma"/>
                <w:b/>
                <w:bCs/>
                <w:color w:val="FFFFFF"/>
                <w:sz w:val="20"/>
                <w:szCs w:val="20"/>
              </w:rPr>
              <w:t>Audit Entry Conference</w:t>
            </w:r>
          </w:p>
          <w:p w14:paraId="6C7DA7E0" w14:textId="77777777" w:rsidR="00792773" w:rsidRPr="005475BD" w:rsidRDefault="00792773" w:rsidP="00494B24">
            <w:pPr>
              <w:autoSpaceDE w:val="0"/>
              <w:autoSpaceDN w:val="0"/>
              <w:adjustRightInd w:val="0"/>
              <w:snapToGrid w:val="0"/>
              <w:spacing w:before="22" w:after="22" w:line="259" w:lineRule="auto"/>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The Audit Entry Conference shall be conducted at the commencement of audit. Amongst others, the contents of the engagement letter will be discussed in the Entry Conference.</w:t>
            </w:r>
          </w:p>
          <w:p w14:paraId="2B9E2DE5" w14:textId="77777777" w:rsidR="00792773" w:rsidRPr="00B4129F" w:rsidRDefault="00792773" w:rsidP="00494B24">
            <w:pPr>
              <w:autoSpaceDE w:val="0"/>
              <w:autoSpaceDN w:val="0"/>
              <w:adjustRightInd w:val="0"/>
              <w:snapToGrid w:val="0"/>
              <w:spacing w:before="22" w:after="22" w:line="259" w:lineRule="auto"/>
              <w:jc w:val="both"/>
              <w:rPr>
                <w:rFonts w:asciiTheme="minorHAnsi" w:hAnsiTheme="minorHAnsi" w:cstheme="minorHAnsi"/>
                <w:sz w:val="20"/>
                <w:szCs w:val="20"/>
              </w:rPr>
            </w:pPr>
          </w:p>
          <w:p w14:paraId="6E5364DC" w14:textId="77777777" w:rsidR="00792773" w:rsidRPr="00B4129F" w:rsidRDefault="00792773" w:rsidP="00494B24">
            <w:pPr>
              <w:autoSpaceDE w:val="0"/>
              <w:autoSpaceDN w:val="0"/>
              <w:adjustRightInd w:val="0"/>
              <w:snapToGrid w:val="0"/>
              <w:spacing w:before="22" w:after="22" w:line="259" w:lineRule="auto"/>
              <w:jc w:val="both"/>
              <w:rPr>
                <w:rFonts w:asciiTheme="minorHAnsi" w:hAnsiTheme="minorHAnsi" w:cstheme="minorHAnsi"/>
                <w:sz w:val="20"/>
                <w:szCs w:val="20"/>
              </w:rPr>
            </w:pPr>
          </w:p>
          <w:p w14:paraId="10512E62" w14:textId="77777777" w:rsidR="00792773" w:rsidRPr="005475BD" w:rsidRDefault="00792773" w:rsidP="005475BD">
            <w:pPr>
              <w:shd w:val="clear" w:color="auto" w:fill="00548E"/>
              <w:rPr>
                <w:rFonts w:ascii="Aptos" w:eastAsia="Times New Roman" w:hAnsi="Aptos" w:cs="Tahoma"/>
                <w:b/>
                <w:bCs/>
                <w:color w:val="FFFFFF"/>
                <w:sz w:val="20"/>
                <w:szCs w:val="20"/>
              </w:rPr>
            </w:pPr>
            <w:r w:rsidRPr="005475BD">
              <w:rPr>
                <w:rFonts w:ascii="Aptos" w:eastAsia="Times New Roman" w:hAnsi="Aptos" w:cs="Tahoma"/>
                <w:b/>
                <w:bCs/>
                <w:color w:val="FFFFFF"/>
                <w:sz w:val="20"/>
                <w:szCs w:val="20"/>
              </w:rPr>
              <w:t>Disclosure of fraud and corruption</w:t>
            </w:r>
          </w:p>
          <w:p w14:paraId="156D0CCB" w14:textId="77777777" w:rsidR="00792773" w:rsidRPr="005475BD" w:rsidRDefault="00792773" w:rsidP="00494B24">
            <w:pPr>
              <w:autoSpaceDE w:val="0"/>
              <w:autoSpaceDN w:val="0"/>
              <w:adjustRightInd w:val="0"/>
              <w:snapToGrid w:val="0"/>
              <w:spacing w:before="22" w:after="22" w:line="259" w:lineRule="auto"/>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If the management is aware of fraud and corruption that took place in the entity, they should disclose to the auditors during the audit entry conference or during audit. It is the responsibility of the management to institute adequate system of internal controls to prevent and detect fraud and corruption.</w:t>
            </w:r>
          </w:p>
          <w:p w14:paraId="13907B26" w14:textId="77777777" w:rsidR="00792773" w:rsidRPr="00B4129F" w:rsidRDefault="00792773" w:rsidP="00494B24">
            <w:pPr>
              <w:autoSpaceDE w:val="0"/>
              <w:autoSpaceDN w:val="0"/>
              <w:adjustRightInd w:val="0"/>
              <w:snapToGrid w:val="0"/>
              <w:spacing w:before="22" w:after="22" w:line="259" w:lineRule="auto"/>
              <w:jc w:val="both"/>
              <w:rPr>
                <w:rFonts w:asciiTheme="minorHAnsi" w:hAnsiTheme="minorHAnsi" w:cstheme="minorHAnsi"/>
                <w:sz w:val="20"/>
                <w:szCs w:val="20"/>
              </w:rPr>
            </w:pPr>
          </w:p>
          <w:p w14:paraId="28D12B83" w14:textId="77777777" w:rsidR="00792773" w:rsidRPr="00B4129F" w:rsidRDefault="00792773" w:rsidP="00494B24">
            <w:pPr>
              <w:autoSpaceDE w:val="0"/>
              <w:autoSpaceDN w:val="0"/>
              <w:adjustRightInd w:val="0"/>
              <w:snapToGrid w:val="0"/>
              <w:spacing w:before="22" w:after="22" w:line="259" w:lineRule="auto"/>
              <w:jc w:val="both"/>
              <w:rPr>
                <w:rFonts w:asciiTheme="minorHAnsi" w:hAnsiTheme="minorHAnsi" w:cstheme="minorHAnsi"/>
                <w:sz w:val="20"/>
                <w:szCs w:val="20"/>
              </w:rPr>
            </w:pPr>
          </w:p>
          <w:p w14:paraId="7B7EF7BC" w14:textId="77777777" w:rsidR="00792773" w:rsidRPr="00B4129F" w:rsidRDefault="00792773" w:rsidP="00494B24">
            <w:pPr>
              <w:shd w:val="clear" w:color="auto" w:fill="00538E"/>
              <w:autoSpaceDE w:val="0"/>
              <w:autoSpaceDN w:val="0"/>
              <w:adjustRightInd w:val="0"/>
              <w:snapToGrid w:val="0"/>
              <w:spacing w:before="22" w:after="22" w:line="259" w:lineRule="auto"/>
              <w:jc w:val="both"/>
              <w:rPr>
                <w:rFonts w:asciiTheme="minorHAnsi" w:hAnsiTheme="minorHAnsi" w:cstheme="minorHAnsi"/>
                <w:b/>
                <w:color w:val="FFFFFF" w:themeColor="background1"/>
                <w:sz w:val="20"/>
                <w:szCs w:val="20"/>
              </w:rPr>
            </w:pPr>
            <w:r w:rsidRPr="00B4129F">
              <w:rPr>
                <w:rFonts w:asciiTheme="minorHAnsi" w:hAnsiTheme="minorHAnsi" w:cstheme="minorHAnsi"/>
                <w:b/>
                <w:color w:val="FFFFFF" w:themeColor="background1"/>
                <w:sz w:val="20"/>
                <w:szCs w:val="20"/>
              </w:rPr>
              <w:t>Custody and control of documents</w:t>
            </w:r>
          </w:p>
          <w:p w14:paraId="50F2DB83" w14:textId="77777777" w:rsidR="00792773" w:rsidRPr="005475BD" w:rsidRDefault="00792773" w:rsidP="00494B24">
            <w:pPr>
              <w:autoSpaceDE w:val="0"/>
              <w:autoSpaceDN w:val="0"/>
              <w:adjustRightInd w:val="0"/>
              <w:snapToGrid w:val="0"/>
              <w:spacing w:before="22" w:after="22" w:line="259" w:lineRule="auto"/>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The responsibility for custody and control of documents shall rest with the management. The auditor shall not remove documents from the entity’s premises without management’s consent. At the end of the audit, the auditors shall handover all the documents to the management.</w:t>
            </w:r>
          </w:p>
          <w:p w14:paraId="0FDBFFF1" w14:textId="77777777" w:rsidR="00792773" w:rsidRPr="00B4129F" w:rsidRDefault="00792773" w:rsidP="00494B24">
            <w:pPr>
              <w:autoSpaceDE w:val="0"/>
              <w:autoSpaceDN w:val="0"/>
              <w:adjustRightInd w:val="0"/>
              <w:snapToGrid w:val="0"/>
              <w:spacing w:before="22" w:after="22" w:line="259" w:lineRule="auto"/>
              <w:jc w:val="both"/>
              <w:rPr>
                <w:rFonts w:asciiTheme="minorHAnsi" w:hAnsiTheme="minorHAnsi" w:cstheme="minorHAnsi"/>
                <w:sz w:val="20"/>
                <w:szCs w:val="20"/>
              </w:rPr>
            </w:pPr>
          </w:p>
          <w:p w14:paraId="05F681BE" w14:textId="77777777" w:rsidR="00792773" w:rsidRPr="00B4129F" w:rsidRDefault="00792773" w:rsidP="00494B24">
            <w:pPr>
              <w:shd w:val="clear" w:color="auto" w:fill="00538E"/>
              <w:autoSpaceDE w:val="0"/>
              <w:autoSpaceDN w:val="0"/>
              <w:adjustRightInd w:val="0"/>
              <w:snapToGrid w:val="0"/>
              <w:spacing w:before="22" w:after="22" w:line="259" w:lineRule="auto"/>
              <w:jc w:val="both"/>
              <w:rPr>
                <w:rFonts w:asciiTheme="minorHAnsi" w:hAnsiTheme="minorHAnsi" w:cstheme="minorHAnsi"/>
                <w:b/>
                <w:color w:val="FFFFFF" w:themeColor="background1"/>
                <w:sz w:val="20"/>
                <w:szCs w:val="20"/>
              </w:rPr>
            </w:pPr>
            <w:r w:rsidRPr="00B4129F">
              <w:rPr>
                <w:rFonts w:asciiTheme="minorHAnsi" w:hAnsiTheme="minorHAnsi" w:cstheme="minorHAnsi"/>
                <w:b/>
                <w:color w:val="FFFFFF" w:themeColor="background1"/>
                <w:sz w:val="20"/>
                <w:szCs w:val="20"/>
              </w:rPr>
              <w:t>Audit Exit Meeting</w:t>
            </w:r>
          </w:p>
          <w:p w14:paraId="5CDC0A8C" w14:textId="77777777" w:rsidR="00792773" w:rsidRPr="005475BD" w:rsidRDefault="00792773" w:rsidP="00494B24">
            <w:pPr>
              <w:autoSpaceDE w:val="0"/>
              <w:autoSpaceDN w:val="0"/>
              <w:adjustRightInd w:val="0"/>
              <w:snapToGrid w:val="0"/>
              <w:spacing w:before="22" w:after="22" w:line="259" w:lineRule="auto"/>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An Audit Exit Meeting will be conducted within one month on completion of field audit. During the exit meeting, the auditor’s report on the financial statements, audit findings along with management’s responses will be discussed and finalised.</w:t>
            </w:r>
          </w:p>
          <w:p w14:paraId="008D835E" w14:textId="77777777" w:rsidR="00792773" w:rsidRPr="00B4129F" w:rsidRDefault="00792773" w:rsidP="00494B24">
            <w:pPr>
              <w:autoSpaceDE w:val="0"/>
              <w:autoSpaceDN w:val="0"/>
              <w:adjustRightInd w:val="0"/>
              <w:snapToGrid w:val="0"/>
              <w:spacing w:before="22" w:after="22" w:line="259" w:lineRule="auto"/>
              <w:jc w:val="both"/>
              <w:rPr>
                <w:rFonts w:asciiTheme="minorHAnsi" w:hAnsiTheme="minorHAnsi" w:cstheme="minorHAnsi"/>
                <w:sz w:val="20"/>
                <w:szCs w:val="20"/>
              </w:rPr>
            </w:pPr>
          </w:p>
          <w:p w14:paraId="4FF54CD8" w14:textId="77777777" w:rsidR="00792773" w:rsidRPr="00B4129F" w:rsidRDefault="00792773" w:rsidP="00494B24">
            <w:pPr>
              <w:autoSpaceDE w:val="0"/>
              <w:autoSpaceDN w:val="0"/>
              <w:adjustRightInd w:val="0"/>
              <w:snapToGrid w:val="0"/>
              <w:spacing w:before="22" w:after="22" w:line="259" w:lineRule="auto"/>
              <w:jc w:val="both"/>
              <w:rPr>
                <w:rFonts w:asciiTheme="minorHAnsi" w:hAnsiTheme="minorHAnsi" w:cstheme="minorHAnsi"/>
                <w:sz w:val="20"/>
                <w:szCs w:val="20"/>
              </w:rPr>
            </w:pPr>
          </w:p>
          <w:p w14:paraId="1091CDF1" w14:textId="77777777" w:rsidR="00792773" w:rsidRPr="00B4129F" w:rsidRDefault="00792773" w:rsidP="00494B24">
            <w:pPr>
              <w:shd w:val="clear" w:color="auto" w:fill="00538E"/>
              <w:autoSpaceDE w:val="0"/>
              <w:autoSpaceDN w:val="0"/>
              <w:adjustRightInd w:val="0"/>
              <w:snapToGrid w:val="0"/>
              <w:spacing w:before="22" w:after="22" w:line="259" w:lineRule="auto"/>
              <w:jc w:val="both"/>
              <w:rPr>
                <w:rFonts w:asciiTheme="minorHAnsi" w:hAnsiTheme="minorHAnsi" w:cstheme="minorHAnsi"/>
                <w:b/>
                <w:color w:val="FFFFFF" w:themeColor="background1"/>
                <w:sz w:val="20"/>
                <w:szCs w:val="20"/>
              </w:rPr>
            </w:pPr>
            <w:r w:rsidRPr="00B4129F">
              <w:rPr>
                <w:rFonts w:asciiTheme="minorHAnsi" w:hAnsiTheme="minorHAnsi" w:cstheme="minorHAnsi"/>
                <w:b/>
                <w:color w:val="FFFFFF" w:themeColor="background1"/>
                <w:sz w:val="20"/>
                <w:szCs w:val="20"/>
              </w:rPr>
              <w:t>Reporting</w:t>
            </w:r>
          </w:p>
          <w:p w14:paraId="449662D4" w14:textId="77777777" w:rsidR="00792773" w:rsidRPr="005475BD" w:rsidRDefault="00792773" w:rsidP="00494B24">
            <w:pPr>
              <w:autoSpaceDE w:val="0"/>
              <w:autoSpaceDN w:val="0"/>
              <w:adjustRightInd w:val="0"/>
              <w:snapToGrid w:val="0"/>
              <w:spacing w:before="22" w:after="22" w:line="259" w:lineRule="auto"/>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 xml:space="preserve">On completion of audit, the auditor as designated by the SAI shall express an opinion as to whether  or not the financial statements are prepared, in all material respect in accordance with financial reporting framework or gives a true and fair view of the financial performance of any entity. </w:t>
            </w:r>
          </w:p>
          <w:p w14:paraId="585A3568" w14:textId="77777777" w:rsidR="00792773" w:rsidRPr="00B4129F" w:rsidRDefault="00792773" w:rsidP="00494B24">
            <w:pPr>
              <w:autoSpaceDE w:val="0"/>
              <w:autoSpaceDN w:val="0"/>
              <w:adjustRightInd w:val="0"/>
              <w:snapToGrid w:val="0"/>
              <w:spacing w:before="22" w:after="22" w:line="259" w:lineRule="auto"/>
              <w:jc w:val="both"/>
              <w:rPr>
                <w:rFonts w:asciiTheme="minorHAnsi" w:hAnsiTheme="minorHAnsi" w:cstheme="minorHAnsi"/>
                <w:sz w:val="20"/>
                <w:szCs w:val="20"/>
              </w:rPr>
            </w:pPr>
          </w:p>
          <w:p w14:paraId="17BFC12F" w14:textId="77777777" w:rsidR="00792773" w:rsidRPr="00B4129F" w:rsidRDefault="00792773" w:rsidP="00494B24">
            <w:pPr>
              <w:shd w:val="clear" w:color="auto" w:fill="00538E"/>
              <w:autoSpaceDE w:val="0"/>
              <w:autoSpaceDN w:val="0"/>
              <w:adjustRightInd w:val="0"/>
              <w:snapToGrid w:val="0"/>
              <w:spacing w:before="22" w:after="22" w:line="259" w:lineRule="auto"/>
              <w:jc w:val="both"/>
              <w:rPr>
                <w:rFonts w:asciiTheme="minorHAnsi" w:hAnsiTheme="minorHAnsi" w:cstheme="minorHAnsi"/>
                <w:b/>
                <w:color w:val="FFFFFF" w:themeColor="background1"/>
                <w:sz w:val="20"/>
                <w:szCs w:val="20"/>
              </w:rPr>
            </w:pPr>
            <w:r w:rsidRPr="00B4129F">
              <w:rPr>
                <w:rFonts w:asciiTheme="minorHAnsi" w:hAnsiTheme="minorHAnsi" w:cstheme="minorHAnsi"/>
                <w:b/>
                <w:color w:val="FFFFFF" w:themeColor="background1"/>
                <w:sz w:val="20"/>
                <w:szCs w:val="20"/>
              </w:rPr>
              <w:t>Agreement of terms</w:t>
            </w:r>
          </w:p>
          <w:p w14:paraId="3262D8DB" w14:textId="24BE1607" w:rsidR="00792773" w:rsidRPr="005475BD" w:rsidRDefault="00792773" w:rsidP="00494B24">
            <w:pPr>
              <w:autoSpaceDE w:val="0"/>
              <w:autoSpaceDN w:val="0"/>
              <w:adjustRightInd w:val="0"/>
              <w:snapToGrid w:val="0"/>
              <w:spacing w:before="22" w:after="22" w:line="259" w:lineRule="auto"/>
              <w:jc w:val="both"/>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Please sign and return the attached copy of this letter to indicate your acknowledgement of, and agreement with, the arrangements for our audit of the financial statements including our respective responsibilities.</w:t>
            </w:r>
          </w:p>
          <w:p w14:paraId="1526068E" w14:textId="77777777" w:rsidR="00792773" w:rsidRPr="00B4129F" w:rsidRDefault="00792773" w:rsidP="00494B24">
            <w:pPr>
              <w:autoSpaceDE w:val="0"/>
              <w:autoSpaceDN w:val="0"/>
              <w:adjustRightInd w:val="0"/>
              <w:snapToGrid w:val="0"/>
              <w:spacing w:before="22" w:after="22" w:line="259" w:lineRule="auto"/>
              <w:jc w:val="both"/>
              <w:rPr>
                <w:rFonts w:asciiTheme="minorHAnsi" w:hAnsiTheme="minorHAnsi" w:cstheme="minorHAnsi"/>
                <w:sz w:val="20"/>
                <w:szCs w:val="20"/>
              </w:rPr>
            </w:pPr>
          </w:p>
          <w:p w14:paraId="6ED62384" w14:textId="77777777" w:rsidR="00792773" w:rsidRPr="00B4129F" w:rsidRDefault="00792773" w:rsidP="00494B24">
            <w:pPr>
              <w:snapToGrid w:val="0"/>
              <w:spacing w:before="22" w:after="22" w:line="259" w:lineRule="auto"/>
              <w:rPr>
                <w:rFonts w:asciiTheme="minorHAnsi" w:hAnsiTheme="minorHAnsi" w:cstheme="minorHAnsi"/>
                <w:b/>
                <w:color w:val="000000"/>
                <w:sz w:val="20"/>
                <w:szCs w:val="20"/>
              </w:rPr>
            </w:pPr>
          </w:p>
          <w:p w14:paraId="281D660E" w14:textId="77777777" w:rsidR="00792773" w:rsidRPr="005475BD" w:rsidRDefault="00792773" w:rsidP="005475BD">
            <w:pPr>
              <w:autoSpaceDE w:val="0"/>
              <w:autoSpaceDN w:val="0"/>
              <w:adjustRightInd w:val="0"/>
              <w:snapToGrid w:val="0"/>
              <w:spacing w:before="22" w:after="22" w:line="259" w:lineRule="auto"/>
              <w:jc w:val="both"/>
              <w:rPr>
                <w:rFonts w:ascii="Aptos" w:eastAsia="Times New Roman" w:hAnsi="Aptos" w:cs="Tahoma"/>
                <w:b/>
                <w:bCs/>
                <w:color w:val="44546A" w:themeColor="text2"/>
                <w:sz w:val="20"/>
                <w:szCs w:val="20"/>
              </w:rPr>
            </w:pPr>
            <w:r w:rsidRPr="005475BD">
              <w:rPr>
                <w:rFonts w:ascii="Aptos" w:eastAsia="Times New Roman" w:hAnsi="Aptos" w:cs="Tahoma"/>
                <w:b/>
                <w:bCs/>
                <w:color w:val="44546A" w:themeColor="text2"/>
                <w:sz w:val="20"/>
                <w:szCs w:val="20"/>
              </w:rPr>
              <w:t>___(signed)_________________________________________</w:t>
            </w:r>
          </w:p>
          <w:p w14:paraId="0AE0FE88" w14:textId="77777777" w:rsidR="00792773" w:rsidRPr="005475BD" w:rsidRDefault="00792773" w:rsidP="005475BD">
            <w:pPr>
              <w:autoSpaceDE w:val="0"/>
              <w:autoSpaceDN w:val="0"/>
              <w:adjustRightInd w:val="0"/>
              <w:snapToGrid w:val="0"/>
              <w:spacing w:before="22" w:after="22" w:line="259" w:lineRule="auto"/>
              <w:jc w:val="both"/>
              <w:rPr>
                <w:rFonts w:ascii="Aptos" w:eastAsia="Times New Roman" w:hAnsi="Aptos" w:cs="Tahoma"/>
                <w:b/>
                <w:bCs/>
                <w:color w:val="44546A" w:themeColor="text2"/>
                <w:sz w:val="20"/>
                <w:szCs w:val="20"/>
              </w:rPr>
            </w:pPr>
            <w:r w:rsidRPr="005475BD">
              <w:rPr>
                <w:rFonts w:ascii="Aptos" w:eastAsia="Times New Roman" w:hAnsi="Aptos" w:cs="Tahoma"/>
                <w:b/>
                <w:bCs/>
                <w:color w:val="44546A" w:themeColor="text2"/>
                <w:sz w:val="20"/>
                <w:szCs w:val="20"/>
              </w:rPr>
              <w:t>Head of SAI/Department/Division</w:t>
            </w:r>
          </w:p>
          <w:p w14:paraId="749159E8" w14:textId="77777777" w:rsidR="00792773" w:rsidRPr="00B4129F" w:rsidRDefault="00792773" w:rsidP="00494B24">
            <w:pPr>
              <w:snapToGrid w:val="0"/>
              <w:spacing w:before="22" w:after="22" w:line="259" w:lineRule="auto"/>
              <w:jc w:val="both"/>
              <w:rPr>
                <w:rFonts w:asciiTheme="minorHAnsi" w:hAnsiTheme="minorHAnsi" w:cstheme="minorHAnsi"/>
                <w:b/>
                <w:color w:val="000000"/>
                <w:sz w:val="20"/>
                <w:szCs w:val="20"/>
              </w:rPr>
            </w:pPr>
          </w:p>
          <w:p w14:paraId="07330375" w14:textId="77777777" w:rsidR="00792773" w:rsidRPr="00B4129F" w:rsidRDefault="00792773" w:rsidP="00494B24">
            <w:pPr>
              <w:snapToGrid w:val="0"/>
              <w:spacing w:before="22" w:after="22" w:line="259" w:lineRule="auto"/>
              <w:rPr>
                <w:rFonts w:asciiTheme="minorHAnsi" w:hAnsiTheme="minorHAnsi" w:cstheme="minorHAnsi"/>
                <w:color w:val="000000"/>
                <w:sz w:val="20"/>
                <w:szCs w:val="20"/>
              </w:rPr>
            </w:pPr>
          </w:p>
          <w:p w14:paraId="4B1861D1" w14:textId="77777777" w:rsidR="00792773" w:rsidRPr="005475BD" w:rsidRDefault="00792773" w:rsidP="00494B24">
            <w:pPr>
              <w:widowControl w:val="0"/>
              <w:autoSpaceDE w:val="0"/>
              <w:autoSpaceDN w:val="0"/>
              <w:adjustRightInd w:val="0"/>
              <w:snapToGrid w:val="0"/>
              <w:spacing w:before="22" w:after="22" w:line="259" w:lineRule="auto"/>
              <w:jc w:val="right"/>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Acknowledged and agreed on behalf of XYZ Entity by</w:t>
            </w:r>
          </w:p>
          <w:p w14:paraId="016D5F41" w14:textId="77777777" w:rsidR="00792773" w:rsidRPr="005475BD" w:rsidRDefault="00792773" w:rsidP="00494B24">
            <w:pPr>
              <w:tabs>
                <w:tab w:val="left" w:pos="630"/>
              </w:tabs>
              <w:snapToGrid w:val="0"/>
              <w:spacing w:before="22" w:after="22" w:line="259" w:lineRule="auto"/>
              <w:jc w:val="right"/>
              <w:rPr>
                <w:rFonts w:ascii="Aptos" w:eastAsia="Times New Roman" w:hAnsi="Aptos" w:cs="Tahoma"/>
                <w:color w:val="44546A" w:themeColor="text2"/>
                <w:sz w:val="20"/>
                <w:szCs w:val="20"/>
              </w:rPr>
            </w:pPr>
          </w:p>
          <w:p w14:paraId="5BEBE94C" w14:textId="77777777" w:rsidR="00792773" w:rsidRPr="005475BD" w:rsidRDefault="00792773" w:rsidP="00494B24">
            <w:pPr>
              <w:tabs>
                <w:tab w:val="left" w:pos="630"/>
              </w:tabs>
              <w:snapToGrid w:val="0"/>
              <w:spacing w:before="22" w:after="22" w:line="259" w:lineRule="auto"/>
              <w:jc w:val="right"/>
              <w:rPr>
                <w:rFonts w:ascii="Aptos" w:eastAsia="Times New Roman" w:hAnsi="Aptos" w:cs="Tahoma"/>
                <w:color w:val="44546A" w:themeColor="text2"/>
                <w:sz w:val="20"/>
                <w:szCs w:val="20"/>
              </w:rPr>
            </w:pPr>
          </w:p>
          <w:p w14:paraId="0461FAA8" w14:textId="77777777" w:rsidR="00792773" w:rsidRPr="005475BD" w:rsidRDefault="00792773" w:rsidP="00494B24">
            <w:pPr>
              <w:tabs>
                <w:tab w:val="left" w:pos="630"/>
              </w:tabs>
              <w:snapToGrid w:val="0"/>
              <w:spacing w:before="22" w:after="22" w:line="259" w:lineRule="auto"/>
              <w:jc w:val="right"/>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(signed)</w:t>
            </w:r>
          </w:p>
          <w:p w14:paraId="3DD9A924" w14:textId="77777777" w:rsidR="00792773" w:rsidRPr="005475BD" w:rsidRDefault="00792773" w:rsidP="00494B24">
            <w:pPr>
              <w:tabs>
                <w:tab w:val="left" w:pos="630"/>
              </w:tabs>
              <w:snapToGrid w:val="0"/>
              <w:spacing w:before="22" w:after="22" w:line="259" w:lineRule="auto"/>
              <w:jc w:val="right"/>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w:t>
            </w:r>
          </w:p>
          <w:p w14:paraId="623AA710" w14:textId="77777777" w:rsidR="00792773" w:rsidRPr="005475BD" w:rsidRDefault="00792773" w:rsidP="00494B24">
            <w:pPr>
              <w:snapToGrid w:val="0"/>
              <w:spacing w:before="22" w:after="22" w:line="259" w:lineRule="auto"/>
              <w:jc w:val="right"/>
              <w:rPr>
                <w:rFonts w:ascii="Aptos" w:eastAsia="Times New Roman" w:hAnsi="Aptos" w:cs="Tahoma"/>
                <w:color w:val="44546A" w:themeColor="text2"/>
                <w:sz w:val="20"/>
                <w:szCs w:val="20"/>
              </w:rPr>
            </w:pPr>
            <w:r w:rsidRPr="005475BD">
              <w:rPr>
                <w:rFonts w:ascii="Aptos" w:eastAsia="Times New Roman" w:hAnsi="Aptos" w:cs="Tahoma"/>
                <w:color w:val="44546A" w:themeColor="text2"/>
                <w:sz w:val="20"/>
                <w:szCs w:val="20"/>
              </w:rPr>
              <w:t>Name and Title Date</w:t>
            </w:r>
          </w:p>
          <w:p w14:paraId="3BC61ECB" w14:textId="77777777" w:rsidR="00792773" w:rsidRPr="00B4129F" w:rsidRDefault="00792773" w:rsidP="00494B24">
            <w:pPr>
              <w:snapToGrid w:val="0"/>
              <w:spacing w:before="22" w:after="22" w:line="259" w:lineRule="auto"/>
              <w:rPr>
                <w:rFonts w:asciiTheme="minorHAnsi" w:hAnsiTheme="minorHAnsi" w:cstheme="minorHAnsi"/>
                <w:sz w:val="20"/>
                <w:szCs w:val="20"/>
              </w:rPr>
            </w:pPr>
          </w:p>
        </w:tc>
      </w:tr>
    </w:tbl>
    <w:p w14:paraId="2EBE94DF" w14:textId="77777777" w:rsidR="00792773" w:rsidRPr="00C41D8D" w:rsidRDefault="00792773" w:rsidP="00792773">
      <w:pPr>
        <w:jc w:val="both"/>
        <w:rPr>
          <w:rFonts w:eastAsia="MS Mincho" w:cs="Arial"/>
          <w:b/>
          <w:color w:val="63A443"/>
          <w:sz w:val="22"/>
          <w:szCs w:val="22"/>
        </w:rPr>
      </w:pPr>
      <w:r w:rsidRPr="00C41D8D">
        <w:rPr>
          <w:rFonts w:eastAsia="MS Mincho" w:cs="Arial"/>
          <w:b/>
          <w:color w:val="63A443"/>
          <w:sz w:val="22"/>
          <w:szCs w:val="22"/>
        </w:rPr>
        <w:lastRenderedPageBreak/>
        <w:t>Guidance for draft and issue audit engagement letter</w:t>
      </w:r>
    </w:p>
    <w:tbl>
      <w:tblPr>
        <w:tblStyle w:val="GridTable1Light-Accent112"/>
        <w:tblW w:w="0" w:type="auto"/>
        <w:tblBorders>
          <w:top w:val="single" w:sz="12" w:space="0" w:color="00538E"/>
          <w:left w:val="single" w:sz="12" w:space="0" w:color="00538E"/>
          <w:bottom w:val="single" w:sz="12" w:space="0" w:color="00538E"/>
          <w:right w:val="single" w:sz="12" w:space="0" w:color="00538E"/>
          <w:insideH w:val="single" w:sz="12" w:space="0" w:color="00538E"/>
          <w:insideV w:val="single" w:sz="12" w:space="0" w:color="00538E"/>
        </w:tblBorders>
        <w:tblLook w:val="04A0" w:firstRow="1" w:lastRow="0" w:firstColumn="1" w:lastColumn="0" w:noHBand="0" w:noVBand="1"/>
      </w:tblPr>
      <w:tblGrid>
        <w:gridCol w:w="1647"/>
        <w:gridCol w:w="7349"/>
      </w:tblGrid>
      <w:tr w:rsidR="00792773" w:rsidRPr="00B4129F" w14:paraId="60813093" w14:textId="77777777" w:rsidTr="00267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7" w:type="dxa"/>
            <w:hideMark/>
          </w:tcPr>
          <w:p w14:paraId="60620C12" w14:textId="77777777" w:rsidR="00792773" w:rsidRPr="005475BD" w:rsidRDefault="00792773" w:rsidP="00494B24">
            <w:pPr>
              <w:rPr>
                <w:rFonts w:ascii="Aptos" w:eastAsia="Times New Roman" w:hAnsi="Aptos" w:cs="Tahoma"/>
                <w:color w:val="44546A" w:themeColor="text2"/>
                <w:sz w:val="20"/>
                <w:szCs w:val="20"/>
                <w:lang w:val="en-GB"/>
              </w:rPr>
            </w:pPr>
            <w:r w:rsidRPr="005475BD">
              <w:rPr>
                <w:rFonts w:ascii="Aptos" w:eastAsia="Times New Roman" w:hAnsi="Aptos" w:cs="Tahoma"/>
                <w:color w:val="44546A" w:themeColor="text2"/>
                <w:sz w:val="20"/>
                <w:szCs w:val="20"/>
                <w:lang w:val="en-GB"/>
              </w:rPr>
              <w:t>Overall Objective of the completing the template</w:t>
            </w:r>
          </w:p>
        </w:tc>
        <w:tc>
          <w:tcPr>
            <w:tcW w:w="7349" w:type="dxa"/>
            <w:hideMark/>
          </w:tcPr>
          <w:p w14:paraId="2C75FF4F" w14:textId="77777777" w:rsidR="00792773" w:rsidRPr="005475BD" w:rsidRDefault="00792773" w:rsidP="00494B24">
            <w:pPr>
              <w:spacing w:before="160" w:after="160"/>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lang w:val="en-GB"/>
              </w:rPr>
            </w:pPr>
            <w:r w:rsidRPr="005475BD">
              <w:rPr>
                <w:rFonts w:ascii="Aptos" w:eastAsia="Times New Roman" w:hAnsi="Aptos" w:cs="Tahoma"/>
                <w:b w:val="0"/>
                <w:bCs w:val="0"/>
                <w:color w:val="44546A" w:themeColor="text2"/>
                <w:sz w:val="20"/>
                <w:szCs w:val="20"/>
                <w:lang w:val="en-GB"/>
              </w:rPr>
              <w:t>The overall objective of issuing the audit engagement letter is to establish the terms and conditions of audit engagement. In the context of audit conducted by the SAIs, the issuance of audit engagement letter may further reinforce the mandate, responsibilities of the SAIs, and management of the entities that may have been already defined in various laws, rules and regulations.</w:t>
            </w:r>
          </w:p>
          <w:p w14:paraId="45D03B56" w14:textId="77777777" w:rsidR="00792773" w:rsidRPr="00B4129F" w:rsidRDefault="00792773" w:rsidP="00494B24">
            <w:pPr>
              <w:spacing w:before="160" w:after="16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5475BD">
              <w:rPr>
                <w:rFonts w:ascii="Aptos" w:eastAsia="Times New Roman" w:hAnsi="Aptos" w:cs="Tahoma"/>
                <w:b w:val="0"/>
                <w:bCs w:val="0"/>
                <w:color w:val="44546A" w:themeColor="text2"/>
                <w:sz w:val="20"/>
                <w:szCs w:val="20"/>
                <w:lang w:val="en-GB"/>
              </w:rPr>
              <w:t>This letter also establishes the terms and conditions of the audit engagement.</w:t>
            </w:r>
          </w:p>
        </w:tc>
      </w:tr>
      <w:tr w:rsidR="00792773" w:rsidRPr="00B4129F" w14:paraId="3A554C2D" w14:textId="77777777" w:rsidTr="0026785A">
        <w:tc>
          <w:tcPr>
            <w:cnfStyle w:val="001000000000" w:firstRow="0" w:lastRow="0" w:firstColumn="1" w:lastColumn="0" w:oddVBand="0" w:evenVBand="0" w:oddHBand="0" w:evenHBand="0" w:firstRowFirstColumn="0" w:firstRowLastColumn="0" w:lastRowFirstColumn="0" w:lastRowLastColumn="0"/>
            <w:tcW w:w="1647" w:type="dxa"/>
            <w:hideMark/>
          </w:tcPr>
          <w:p w14:paraId="57316B8A" w14:textId="77777777" w:rsidR="00792773" w:rsidRPr="005475BD" w:rsidRDefault="00792773" w:rsidP="00494B24">
            <w:pPr>
              <w:rPr>
                <w:rFonts w:ascii="Aptos" w:eastAsia="Times New Roman" w:hAnsi="Aptos" w:cs="Tahoma"/>
                <w:color w:val="44546A" w:themeColor="text2"/>
                <w:sz w:val="20"/>
                <w:szCs w:val="20"/>
                <w:lang w:val="en-GB"/>
              </w:rPr>
            </w:pPr>
            <w:r w:rsidRPr="005475BD">
              <w:rPr>
                <w:rFonts w:ascii="Aptos" w:eastAsia="Times New Roman" w:hAnsi="Aptos" w:cs="Tahoma"/>
                <w:color w:val="44546A" w:themeColor="text2"/>
                <w:sz w:val="20"/>
                <w:szCs w:val="20"/>
                <w:lang w:val="en-GB"/>
              </w:rPr>
              <w:t>Applicable ISSAIs</w:t>
            </w:r>
          </w:p>
        </w:tc>
        <w:tc>
          <w:tcPr>
            <w:tcW w:w="7349" w:type="dxa"/>
            <w:hideMark/>
          </w:tcPr>
          <w:p w14:paraId="1DF77BCE" w14:textId="6CF47A0D" w:rsidR="00792773" w:rsidRPr="005475BD" w:rsidRDefault="00792773" w:rsidP="005475BD">
            <w:pPr>
              <w:spacing w:before="160" w:after="160"/>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val="en-GB"/>
              </w:rPr>
            </w:pPr>
            <w:r w:rsidRPr="005475BD">
              <w:rPr>
                <w:rFonts w:ascii="Aptos" w:eastAsia="Times New Roman" w:hAnsi="Aptos" w:cs="Tahoma"/>
                <w:color w:val="44546A" w:themeColor="text2"/>
                <w:sz w:val="20"/>
                <w:szCs w:val="20"/>
                <w:lang w:val="en-GB"/>
              </w:rPr>
              <w:t xml:space="preserve">ISSAI </w:t>
            </w:r>
            <w:r w:rsidR="00581B3A" w:rsidRPr="005475BD">
              <w:rPr>
                <w:rFonts w:ascii="Aptos" w:eastAsia="Times New Roman" w:hAnsi="Aptos" w:cs="Tahoma"/>
                <w:color w:val="44546A" w:themeColor="text2"/>
                <w:sz w:val="20"/>
                <w:szCs w:val="20"/>
                <w:lang w:val="en-GB"/>
              </w:rPr>
              <w:t>2</w:t>
            </w:r>
            <w:r w:rsidRPr="005475BD">
              <w:rPr>
                <w:rFonts w:ascii="Aptos" w:eastAsia="Times New Roman" w:hAnsi="Aptos" w:cs="Tahoma"/>
                <w:color w:val="44546A" w:themeColor="text2"/>
                <w:sz w:val="20"/>
                <w:szCs w:val="20"/>
                <w:lang w:val="en-GB"/>
              </w:rPr>
              <w:t xml:space="preserve">210, ISSAI </w:t>
            </w:r>
            <w:r w:rsidR="00581B3A" w:rsidRPr="005475BD">
              <w:rPr>
                <w:rFonts w:ascii="Aptos" w:eastAsia="Times New Roman" w:hAnsi="Aptos" w:cs="Tahoma"/>
                <w:color w:val="44546A" w:themeColor="text2"/>
                <w:sz w:val="20"/>
                <w:szCs w:val="20"/>
                <w:lang w:val="en-GB"/>
              </w:rPr>
              <w:t>2</w:t>
            </w:r>
            <w:r w:rsidRPr="005475BD">
              <w:rPr>
                <w:rFonts w:ascii="Aptos" w:eastAsia="Times New Roman" w:hAnsi="Aptos" w:cs="Tahoma"/>
                <w:color w:val="44546A" w:themeColor="text2"/>
                <w:sz w:val="20"/>
                <w:szCs w:val="20"/>
                <w:lang w:val="en-GB"/>
              </w:rPr>
              <w:t>260</w:t>
            </w:r>
          </w:p>
        </w:tc>
      </w:tr>
      <w:tr w:rsidR="00792773" w:rsidRPr="00B4129F" w14:paraId="2101D7C9" w14:textId="77777777" w:rsidTr="0026785A">
        <w:tc>
          <w:tcPr>
            <w:cnfStyle w:val="001000000000" w:firstRow="0" w:lastRow="0" w:firstColumn="1" w:lastColumn="0" w:oddVBand="0" w:evenVBand="0" w:oddHBand="0" w:evenHBand="0" w:firstRowFirstColumn="0" w:firstRowLastColumn="0" w:lastRowFirstColumn="0" w:lastRowLastColumn="0"/>
            <w:tcW w:w="1647" w:type="dxa"/>
            <w:hideMark/>
          </w:tcPr>
          <w:p w14:paraId="20558D42" w14:textId="77777777" w:rsidR="00792773" w:rsidRPr="005475BD" w:rsidRDefault="00792773" w:rsidP="00494B24">
            <w:pPr>
              <w:rPr>
                <w:rFonts w:ascii="Aptos" w:eastAsia="Times New Roman" w:hAnsi="Aptos" w:cs="Tahoma"/>
                <w:color w:val="44546A" w:themeColor="text2"/>
                <w:sz w:val="20"/>
                <w:szCs w:val="20"/>
                <w:lang w:val="en-GB"/>
              </w:rPr>
            </w:pPr>
            <w:r w:rsidRPr="005475BD">
              <w:rPr>
                <w:rFonts w:ascii="Aptos" w:eastAsia="Times New Roman" w:hAnsi="Aptos" w:cs="Tahoma"/>
                <w:color w:val="44546A" w:themeColor="text2"/>
                <w:sz w:val="20"/>
                <w:szCs w:val="20"/>
                <w:lang w:val="en-GB"/>
              </w:rPr>
              <w:t>Guidance</w:t>
            </w:r>
          </w:p>
        </w:tc>
        <w:tc>
          <w:tcPr>
            <w:tcW w:w="7349" w:type="dxa"/>
          </w:tcPr>
          <w:p w14:paraId="0F20DFDD" w14:textId="22EBEBD2" w:rsidR="00792773" w:rsidRPr="005475BD" w:rsidRDefault="000F0803" w:rsidP="005475BD">
            <w:pPr>
              <w:spacing w:before="160" w:after="160"/>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val="en-GB"/>
              </w:rPr>
            </w:pPr>
            <w:r w:rsidRPr="005475BD">
              <w:rPr>
                <w:rFonts w:ascii="Aptos" w:eastAsia="Times New Roman" w:hAnsi="Aptos" w:cs="Tahoma"/>
                <w:color w:val="44546A" w:themeColor="text2"/>
                <w:sz w:val="20"/>
                <w:szCs w:val="20"/>
                <w:lang w:val="en-GB"/>
              </w:rPr>
              <w:t xml:space="preserve">This </w:t>
            </w:r>
            <w:r w:rsidR="00792773" w:rsidRPr="005475BD">
              <w:rPr>
                <w:rFonts w:ascii="Aptos" w:eastAsia="Times New Roman" w:hAnsi="Aptos" w:cs="Tahoma"/>
                <w:color w:val="44546A" w:themeColor="text2"/>
                <w:sz w:val="20"/>
                <w:szCs w:val="20"/>
                <w:lang w:val="en-GB"/>
              </w:rPr>
              <w:t>Audit Engagement letter is adapted from Appendix 1 of IS</w:t>
            </w:r>
            <w:r w:rsidR="00187B49" w:rsidRPr="005475BD">
              <w:rPr>
                <w:rFonts w:ascii="Aptos" w:eastAsia="Times New Roman" w:hAnsi="Aptos" w:cs="Tahoma"/>
                <w:color w:val="44546A" w:themeColor="text2"/>
                <w:sz w:val="20"/>
                <w:szCs w:val="20"/>
                <w:lang w:val="en-GB"/>
              </w:rPr>
              <w:t>S</w:t>
            </w:r>
            <w:r w:rsidR="00792773" w:rsidRPr="005475BD">
              <w:rPr>
                <w:rFonts w:ascii="Aptos" w:eastAsia="Times New Roman" w:hAnsi="Aptos" w:cs="Tahoma"/>
                <w:color w:val="44546A" w:themeColor="text2"/>
                <w:sz w:val="20"/>
                <w:szCs w:val="20"/>
                <w:lang w:val="en-GB"/>
              </w:rPr>
              <w:t>A</w:t>
            </w:r>
            <w:r w:rsidR="00187B49" w:rsidRPr="005475BD">
              <w:rPr>
                <w:rFonts w:ascii="Aptos" w:eastAsia="Times New Roman" w:hAnsi="Aptos" w:cs="Tahoma"/>
                <w:color w:val="44546A" w:themeColor="text2"/>
                <w:sz w:val="20"/>
                <w:szCs w:val="20"/>
                <w:lang w:val="en-GB"/>
              </w:rPr>
              <w:t>I</w:t>
            </w:r>
            <w:r w:rsidR="00792773" w:rsidRPr="005475BD">
              <w:rPr>
                <w:rFonts w:ascii="Aptos" w:eastAsia="Times New Roman" w:hAnsi="Aptos" w:cs="Tahoma"/>
                <w:color w:val="44546A" w:themeColor="text2"/>
                <w:sz w:val="20"/>
                <w:szCs w:val="20"/>
                <w:lang w:val="en-GB"/>
              </w:rPr>
              <w:t xml:space="preserve"> </w:t>
            </w:r>
            <w:r w:rsidR="00187B49" w:rsidRPr="005475BD">
              <w:rPr>
                <w:rFonts w:ascii="Aptos" w:eastAsia="Times New Roman" w:hAnsi="Aptos" w:cs="Tahoma"/>
                <w:color w:val="44546A" w:themeColor="text2"/>
                <w:sz w:val="20"/>
                <w:szCs w:val="20"/>
                <w:lang w:val="en-GB"/>
              </w:rPr>
              <w:t>2</w:t>
            </w:r>
            <w:r w:rsidR="00792773" w:rsidRPr="005475BD">
              <w:rPr>
                <w:rFonts w:ascii="Aptos" w:eastAsia="Times New Roman" w:hAnsi="Aptos" w:cs="Tahoma"/>
                <w:color w:val="44546A" w:themeColor="text2"/>
                <w:sz w:val="20"/>
                <w:szCs w:val="20"/>
                <w:lang w:val="en-GB"/>
              </w:rPr>
              <w:t>210 (Amended version). Some of the contents are customised that may be applicable in the audit of financial statements of public sector entities.</w:t>
            </w:r>
          </w:p>
          <w:p w14:paraId="4EFF063C" w14:textId="7CE072B1" w:rsidR="00792773" w:rsidRPr="005475BD" w:rsidRDefault="00792773" w:rsidP="005475BD">
            <w:pPr>
              <w:spacing w:before="160" w:after="160"/>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val="en-GB"/>
              </w:rPr>
            </w:pPr>
            <w:r w:rsidRPr="005475BD">
              <w:rPr>
                <w:rFonts w:ascii="Aptos" w:eastAsia="Times New Roman" w:hAnsi="Aptos" w:cs="Tahoma"/>
                <w:color w:val="44546A" w:themeColor="text2"/>
                <w:sz w:val="20"/>
                <w:szCs w:val="20"/>
                <w:lang w:val="en-GB"/>
              </w:rPr>
              <w:t>The contents of the audit engagement letter should be amended according to the type of financial reporting framework used by the entity or entities to prepare the financial statements. The framework could be either a fair presentation framework or compliance framework, as such the wording of Para No (a) under Management’s responsibilities</w:t>
            </w:r>
            <w:r w:rsidR="000F0803" w:rsidRPr="005475BD">
              <w:rPr>
                <w:rFonts w:ascii="Aptos" w:eastAsia="Times New Roman" w:hAnsi="Aptos" w:cs="Tahoma"/>
                <w:color w:val="44546A" w:themeColor="text2"/>
                <w:sz w:val="20"/>
                <w:szCs w:val="20"/>
                <w:lang w:val="en-GB"/>
              </w:rPr>
              <w:t>, and description in the last page under reporting section</w:t>
            </w:r>
            <w:r w:rsidRPr="005475BD">
              <w:rPr>
                <w:rFonts w:ascii="Aptos" w:eastAsia="Times New Roman" w:hAnsi="Aptos" w:cs="Tahoma"/>
                <w:color w:val="44546A" w:themeColor="text2"/>
                <w:sz w:val="20"/>
                <w:szCs w:val="20"/>
                <w:lang w:val="en-GB"/>
              </w:rPr>
              <w:t xml:space="preserve"> will have to be amended accordingly. Similarly, if the financial statements are prepared on cash basis, the responsibility of the auditor to evaluate the reasonableness of the accounting estimates become irrelevant (refer bullet point No. 3 under auditor’s responsibilities).</w:t>
            </w:r>
          </w:p>
          <w:p w14:paraId="78548820" w14:textId="499CE437" w:rsidR="00792773" w:rsidRPr="005475BD" w:rsidRDefault="00792773" w:rsidP="005475BD">
            <w:pPr>
              <w:spacing w:before="160" w:after="160"/>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val="en-GB"/>
              </w:rPr>
            </w:pPr>
            <w:r w:rsidRPr="005475BD">
              <w:rPr>
                <w:rFonts w:ascii="Aptos" w:eastAsia="Times New Roman" w:hAnsi="Aptos" w:cs="Tahoma"/>
                <w:color w:val="44546A" w:themeColor="text2"/>
                <w:sz w:val="20"/>
                <w:szCs w:val="20"/>
                <w:lang w:val="en-GB"/>
              </w:rPr>
              <w:t xml:space="preserve">The paragraph on going concern assumption also needs to be reviewed, since this is more applicable to business entities or the listed companies. </w:t>
            </w:r>
            <w:r w:rsidR="007F296D" w:rsidRPr="005475BD">
              <w:rPr>
                <w:rFonts w:ascii="Aptos" w:eastAsia="Times New Roman" w:hAnsi="Aptos" w:cs="Tahoma"/>
                <w:color w:val="44546A" w:themeColor="text2"/>
                <w:sz w:val="20"/>
                <w:szCs w:val="20"/>
                <w:lang w:val="en-GB"/>
              </w:rPr>
              <w:t>The engagement team also needs to assess whether going concern issues are relevant to the audited entity. Otherwise, the paragraph should be deleted.</w:t>
            </w:r>
          </w:p>
          <w:p w14:paraId="5DF7224B" w14:textId="77777777" w:rsidR="00792773" w:rsidRPr="005475BD" w:rsidRDefault="00792773" w:rsidP="005475BD">
            <w:pPr>
              <w:spacing w:before="160" w:after="160"/>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val="en-GB"/>
              </w:rPr>
            </w:pPr>
            <w:r w:rsidRPr="005475BD">
              <w:rPr>
                <w:rFonts w:ascii="Aptos" w:eastAsia="Times New Roman" w:hAnsi="Aptos" w:cs="Tahoma"/>
                <w:color w:val="44546A" w:themeColor="text2"/>
                <w:sz w:val="20"/>
                <w:szCs w:val="20"/>
                <w:lang w:val="en-GB"/>
              </w:rPr>
              <w:t>Therefore, the audit engagement letter should be customised accordingly, and made relevant to audit of an entity identified for audit.</w:t>
            </w:r>
          </w:p>
          <w:p w14:paraId="6CEB7C06" w14:textId="77777777" w:rsidR="00792773" w:rsidRPr="005475BD" w:rsidRDefault="00792773" w:rsidP="005475BD">
            <w:pPr>
              <w:spacing w:before="160" w:after="160"/>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val="en-GB"/>
              </w:rPr>
            </w:pPr>
          </w:p>
        </w:tc>
      </w:tr>
      <w:tr w:rsidR="00792773" w:rsidRPr="00B4129F" w14:paraId="5116DCFC" w14:textId="77777777" w:rsidTr="0026785A">
        <w:tc>
          <w:tcPr>
            <w:cnfStyle w:val="001000000000" w:firstRow="0" w:lastRow="0" w:firstColumn="1" w:lastColumn="0" w:oddVBand="0" w:evenVBand="0" w:oddHBand="0" w:evenHBand="0" w:firstRowFirstColumn="0" w:firstRowLastColumn="0" w:lastRowFirstColumn="0" w:lastRowLastColumn="0"/>
            <w:tcW w:w="1647" w:type="dxa"/>
            <w:hideMark/>
          </w:tcPr>
          <w:p w14:paraId="57A5F6B6" w14:textId="77777777" w:rsidR="00792773" w:rsidRPr="00B4129F" w:rsidRDefault="00792773" w:rsidP="00494B24">
            <w:pPr>
              <w:rPr>
                <w:rFonts w:asciiTheme="minorHAnsi" w:hAnsiTheme="minorHAnsi" w:cstheme="minorHAnsi"/>
                <w:sz w:val="20"/>
                <w:szCs w:val="20"/>
              </w:rPr>
            </w:pPr>
            <w:r w:rsidRPr="00B4129F">
              <w:rPr>
                <w:rFonts w:asciiTheme="minorHAnsi" w:hAnsiTheme="minorHAnsi" w:cstheme="minorHAnsi"/>
                <w:color w:val="00548E"/>
                <w:sz w:val="20"/>
                <w:szCs w:val="20"/>
              </w:rPr>
              <w:t>Conclusion</w:t>
            </w:r>
          </w:p>
        </w:tc>
        <w:tc>
          <w:tcPr>
            <w:tcW w:w="7349" w:type="dxa"/>
            <w:hideMark/>
          </w:tcPr>
          <w:p w14:paraId="14F689F3" w14:textId="77777777" w:rsidR="00792773" w:rsidRPr="005475BD" w:rsidRDefault="00792773" w:rsidP="005475BD">
            <w:pPr>
              <w:spacing w:before="160" w:after="160"/>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val="en-GB"/>
              </w:rPr>
            </w:pPr>
            <w:r w:rsidRPr="005475BD">
              <w:rPr>
                <w:rFonts w:ascii="Aptos" w:eastAsia="Times New Roman" w:hAnsi="Aptos" w:cs="Tahoma"/>
                <w:color w:val="44546A" w:themeColor="text2"/>
                <w:sz w:val="20"/>
                <w:szCs w:val="20"/>
                <w:lang w:val="en-GB"/>
              </w:rPr>
              <w:t>The audit supervisor or the team leader should ensure that the management of the entity or those charged with governance have understood the content of the audit engagement letter. Among others, the audit entry conference can be used as a forum to discuss and communicate with the management and those charged with governance where appropriate on the terms and conditions of the audit engagement.</w:t>
            </w:r>
          </w:p>
        </w:tc>
      </w:tr>
    </w:tbl>
    <w:p w14:paraId="752881BE" w14:textId="77777777" w:rsidR="00F20015" w:rsidRDefault="00F20015"/>
    <w:sectPr w:rsidR="00F20015" w:rsidSect="0026785A">
      <w:headerReference w:type="default" r:id="rId10"/>
      <w:footerReference w:type="default" r:id="rId11"/>
      <w:pgSz w:w="11906" w:h="16838"/>
      <w:pgMar w:top="1674" w:right="1440" w:bottom="1440" w:left="1440" w:header="0" w:footer="8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8FFC4" w14:textId="77777777" w:rsidR="004D40CD" w:rsidRDefault="004D40CD" w:rsidP="009C49C3">
      <w:r>
        <w:separator/>
      </w:r>
    </w:p>
  </w:endnote>
  <w:endnote w:type="continuationSeparator" w:id="0">
    <w:p w14:paraId="30C6AC43" w14:textId="77777777" w:rsidR="004D40CD" w:rsidRDefault="004D40CD" w:rsidP="009C4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5060202020A0204"/>
    <w:charset w:val="00"/>
    <w:family w:val="swiss"/>
    <w:pitch w:val="variable"/>
    <w:sig w:usb0="00000287" w:usb1="00000800" w:usb2="00000000" w:usb3="00000000" w:csb0="0000009F" w:csb1="00000000"/>
  </w:font>
  <w:font w:name="Oswald">
    <w:panose1 w:val="00000500000000000000"/>
    <w:charset w:val="4D"/>
    <w:family w:val="auto"/>
    <w:pitch w:val="variable"/>
    <w:sig w:usb0="A00002FF" w:usb1="4000204B" w:usb2="00000000" w:usb3="00000000" w:csb0="00000197"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773541"/>
      <w:docPartObj>
        <w:docPartGallery w:val="Page Numbers (Bottom of Page)"/>
        <w:docPartUnique/>
      </w:docPartObj>
    </w:sdtPr>
    <w:sdtEndPr>
      <w:rPr>
        <w:color w:val="7F7F7F" w:themeColor="background1" w:themeShade="7F"/>
        <w:spacing w:val="60"/>
      </w:rPr>
    </w:sdtEndPr>
    <w:sdtContent>
      <w:sdt>
        <w:sdtPr>
          <w:rPr>
            <w:rStyle w:val="PageNumber"/>
            <w:rFonts w:ascii="Oswald" w:hAnsi="Oswald"/>
            <w:sz w:val="21"/>
            <w:szCs w:val="21"/>
          </w:rPr>
          <w:id w:val="-404143263"/>
          <w:docPartObj>
            <w:docPartGallery w:val="Page Numbers (Bottom of Page)"/>
            <w:docPartUnique/>
          </w:docPartObj>
        </w:sdtPr>
        <w:sdtEndPr>
          <w:rPr>
            <w:rStyle w:val="PageNumber"/>
            <w:b/>
            <w:bCs/>
            <w:color w:val="000000" w:themeColor="text1"/>
          </w:rPr>
        </w:sdtEndPr>
        <w:sdtContent>
          <w:p w14:paraId="7E439707" w14:textId="106E7501" w:rsidR="009C49C3" w:rsidRPr="006F3923" w:rsidRDefault="00F55CC0" w:rsidP="006F3923">
            <w:pPr>
              <w:pStyle w:val="Footer"/>
              <w:jc w:val="right"/>
              <w:rPr>
                <w:rFonts w:ascii="Oswald" w:hAnsi="Oswald"/>
                <w:sz w:val="21"/>
                <w:szCs w:val="21"/>
              </w:rPr>
            </w:pPr>
            <w:r w:rsidRPr="006D28E8">
              <w:rPr>
                <w:rStyle w:val="PageNumber"/>
                <w:rFonts w:ascii="Arial Narrow" w:hAnsi="Arial Narrow"/>
                <w:sz w:val="21"/>
                <w:szCs w:val="21"/>
              </w:rPr>
              <w:t xml:space="preserve">Financial Audit </w:t>
            </w:r>
            <w:r>
              <w:rPr>
                <w:rStyle w:val="PageNumber"/>
                <w:rFonts w:ascii="Arial Narrow" w:hAnsi="Arial Narrow"/>
                <w:sz w:val="21"/>
                <w:szCs w:val="21"/>
              </w:rPr>
              <w:t>Working Paper 4.7</w:t>
            </w:r>
            <w:r w:rsidR="00430839">
              <w:rPr>
                <w:rStyle w:val="PageNumber"/>
                <w:rFonts w:ascii="Arial Narrow" w:hAnsi="Arial Narrow"/>
                <w:sz w:val="21"/>
                <w:szCs w:val="21"/>
              </w:rPr>
              <w:t xml:space="preserve"> </w:t>
            </w:r>
            <w:r w:rsidR="00E464AA" w:rsidRPr="0026785A">
              <w:rPr>
                <w:rStyle w:val="PageNumber"/>
                <w:rFonts w:ascii="Arial Narrow" w:hAnsi="Arial Narrow"/>
                <w:sz w:val="21"/>
                <w:szCs w:val="21"/>
              </w:rPr>
              <w:t xml:space="preserve">| </w:t>
            </w:r>
            <w:r w:rsidR="00E464AA" w:rsidRPr="0026785A">
              <w:rPr>
                <w:rStyle w:val="PageNumber"/>
                <w:rFonts w:ascii="Arial Narrow" w:hAnsi="Arial Narrow"/>
                <w:sz w:val="21"/>
                <w:szCs w:val="21"/>
              </w:rPr>
              <w:fldChar w:fldCharType="begin"/>
            </w:r>
            <w:r w:rsidR="00E464AA" w:rsidRPr="0026785A">
              <w:rPr>
                <w:rStyle w:val="PageNumber"/>
                <w:rFonts w:ascii="Arial Narrow" w:hAnsi="Arial Narrow"/>
                <w:sz w:val="21"/>
                <w:szCs w:val="21"/>
              </w:rPr>
              <w:instrText xml:space="preserve"> PAGE </w:instrText>
            </w:r>
            <w:r w:rsidR="00E464AA" w:rsidRPr="0026785A">
              <w:rPr>
                <w:rStyle w:val="PageNumber"/>
                <w:rFonts w:ascii="Arial Narrow" w:hAnsi="Arial Narrow"/>
                <w:sz w:val="21"/>
                <w:szCs w:val="21"/>
              </w:rPr>
              <w:fldChar w:fldCharType="separate"/>
            </w:r>
            <w:r w:rsidR="00E464AA" w:rsidRPr="0026785A">
              <w:rPr>
                <w:rStyle w:val="PageNumber"/>
                <w:rFonts w:ascii="Arial Narrow" w:hAnsi="Arial Narrow"/>
                <w:sz w:val="21"/>
                <w:szCs w:val="21"/>
              </w:rPr>
              <w:t>1</w:t>
            </w:r>
            <w:r w:rsidR="00E464AA" w:rsidRPr="0026785A">
              <w:rPr>
                <w:rStyle w:val="PageNumber"/>
                <w:rFonts w:ascii="Arial Narrow" w:hAnsi="Arial Narrow"/>
                <w:sz w:val="21"/>
                <w:szCs w:val="21"/>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8A44B" w14:textId="77777777" w:rsidR="004D40CD" w:rsidRDefault="004D40CD" w:rsidP="009C49C3">
      <w:r>
        <w:separator/>
      </w:r>
    </w:p>
  </w:footnote>
  <w:footnote w:type="continuationSeparator" w:id="0">
    <w:p w14:paraId="261628F4" w14:textId="77777777" w:rsidR="004D40CD" w:rsidRDefault="004D40CD" w:rsidP="009C4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39D3E" w14:textId="5560341A" w:rsidR="00E464AA" w:rsidRDefault="009D3587">
    <w:pPr>
      <w:pStyle w:val="Header"/>
    </w:pPr>
    <w:r>
      <w:rPr>
        <w:noProof/>
      </w:rPr>
      <w:drawing>
        <wp:anchor distT="0" distB="0" distL="114300" distR="114300" simplePos="0" relativeHeight="251665408" behindDoc="1" locked="0" layoutInCell="1" allowOverlap="1" wp14:anchorId="66BBAB60" wp14:editId="0F1964F5">
          <wp:simplePos x="0" y="0"/>
          <wp:positionH relativeFrom="column">
            <wp:posOffset>5588000</wp:posOffset>
          </wp:positionH>
          <wp:positionV relativeFrom="paragraph">
            <wp:posOffset>0</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p>
  <w:p w14:paraId="6080F14C" w14:textId="65EAA671" w:rsidR="009C49C3" w:rsidRDefault="009D3587">
    <w:pPr>
      <w:pStyle w:val="Header"/>
    </w:pPr>
    <w:r>
      <w:rPr>
        <w:noProof/>
      </w:rPr>
      <w:drawing>
        <wp:anchor distT="0" distB="0" distL="114300" distR="114300" simplePos="0" relativeHeight="251663360" behindDoc="1" locked="0" layoutInCell="1" allowOverlap="1" wp14:anchorId="76002B0B" wp14:editId="7F8037B5">
          <wp:simplePos x="0" y="0"/>
          <wp:positionH relativeFrom="column">
            <wp:posOffset>0</wp:posOffset>
          </wp:positionH>
          <wp:positionV relativeFrom="paragraph">
            <wp:posOffset>-635</wp:posOffset>
          </wp:positionV>
          <wp:extent cx="1485900" cy="694441"/>
          <wp:effectExtent l="0" t="0" r="0" b="4445"/>
          <wp:wrapNone/>
          <wp:docPr id="2715446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71544693"/>
                  <pic:cNvPicPr/>
                </pic:nvPicPr>
                <pic:blipFill>
                  <a:blip r:embed="rId2">
                    <a:extLst>
                      <a:ext uri="{28A0092B-C50C-407E-A947-70E740481C1C}">
                        <a14:useLocalDpi xmlns:a14="http://schemas.microsoft.com/office/drawing/2010/main" val="0"/>
                      </a:ext>
                    </a:extLst>
                  </a:blip>
                  <a:stretch>
                    <a:fillRect/>
                  </a:stretch>
                </pic:blipFill>
                <pic:spPr>
                  <a:xfrm>
                    <a:off x="0" y="0"/>
                    <a:ext cx="1503946" cy="7028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5E0A0A"/>
    <w:multiLevelType w:val="hybridMultilevel"/>
    <w:tmpl w:val="B84CEB5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1" w15:restartNumberingAfterBreak="0">
    <w:nsid w:val="49BD1DEA"/>
    <w:multiLevelType w:val="hybridMultilevel"/>
    <w:tmpl w:val="0658D2E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5AE8852">
      <w:start w:val="1"/>
      <w:numFmt w:val="decimal"/>
      <w:lvlText w:val="%4."/>
      <w:lvlJc w:val="left"/>
      <w:pPr>
        <w:ind w:left="2880" w:hanging="360"/>
      </w:pPr>
      <w:rPr>
        <w:b/>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85F2CA8"/>
    <w:multiLevelType w:val="hybridMultilevel"/>
    <w:tmpl w:val="E1505CC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783378284">
    <w:abstractNumId w:val="0"/>
  </w:num>
  <w:num w:numId="2" w16cid:durableId="3726566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030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773"/>
    <w:rsid w:val="000F0803"/>
    <w:rsid w:val="00187B49"/>
    <w:rsid w:val="001F0911"/>
    <w:rsid w:val="0026785A"/>
    <w:rsid w:val="002D56EC"/>
    <w:rsid w:val="0031034B"/>
    <w:rsid w:val="00383650"/>
    <w:rsid w:val="00392291"/>
    <w:rsid w:val="003C0213"/>
    <w:rsid w:val="00415F13"/>
    <w:rsid w:val="00430839"/>
    <w:rsid w:val="004D1E0F"/>
    <w:rsid w:val="004D40CD"/>
    <w:rsid w:val="00507014"/>
    <w:rsid w:val="005475BD"/>
    <w:rsid w:val="00581B3A"/>
    <w:rsid w:val="006F3923"/>
    <w:rsid w:val="0072106D"/>
    <w:rsid w:val="00792773"/>
    <w:rsid w:val="007F296D"/>
    <w:rsid w:val="00805B73"/>
    <w:rsid w:val="008A4064"/>
    <w:rsid w:val="008B06D0"/>
    <w:rsid w:val="008D0BA3"/>
    <w:rsid w:val="008F3F5D"/>
    <w:rsid w:val="00981710"/>
    <w:rsid w:val="009C49C3"/>
    <w:rsid w:val="009D3587"/>
    <w:rsid w:val="00A17C48"/>
    <w:rsid w:val="00A7578A"/>
    <w:rsid w:val="00AE737B"/>
    <w:rsid w:val="00B87E16"/>
    <w:rsid w:val="00BA22E0"/>
    <w:rsid w:val="00C236F4"/>
    <w:rsid w:val="00C272AB"/>
    <w:rsid w:val="00C90166"/>
    <w:rsid w:val="00CB06B1"/>
    <w:rsid w:val="00D522DE"/>
    <w:rsid w:val="00E17D17"/>
    <w:rsid w:val="00E36D25"/>
    <w:rsid w:val="00E464AA"/>
    <w:rsid w:val="00F20015"/>
    <w:rsid w:val="00F55CC0"/>
  </w:rsids>
  <m:mathPr>
    <m:mathFont m:val="Cambria Math"/>
    <m:brkBin m:val="before"/>
    <m:brkBinSub m:val="--"/>
    <m:smallFrac m:val="0"/>
    <m:dispDef/>
    <m:lMargin m:val="0"/>
    <m:rMargin m:val="0"/>
    <m:defJc m:val="centerGroup"/>
    <m:wrapIndent m:val="1440"/>
    <m:intLim m:val="subSup"/>
    <m:naryLim m:val="undOvr"/>
  </m:mathPr>
  <w:themeFontLang w:val="nb-NO"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FA553"/>
  <w15:chartTrackingRefBased/>
  <w15:docId w15:val="{B007A7CE-0403-4BE2-B905-FB49211F3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773"/>
    <w:pPr>
      <w:spacing w:after="0" w:line="240" w:lineRule="auto"/>
    </w:pPr>
    <w:rPr>
      <w:sz w:val="24"/>
      <w:szCs w:val="24"/>
    </w:rPr>
  </w:style>
  <w:style w:type="paragraph" w:styleId="Heading3">
    <w:name w:val="heading 3"/>
    <w:basedOn w:val="Normal"/>
    <w:next w:val="Normal"/>
    <w:link w:val="Heading3Char"/>
    <w:uiPriority w:val="9"/>
    <w:unhideWhenUsed/>
    <w:qFormat/>
    <w:rsid w:val="00792773"/>
    <w:pPr>
      <w:keepNext/>
      <w:keepLines/>
      <w:spacing w:before="200" w:after="200" w:line="276" w:lineRule="auto"/>
      <w:outlineLvl w:val="2"/>
    </w:pPr>
    <w:rPr>
      <w:rFonts w:eastAsiaTheme="majorEastAsia" w:cstheme="majorBidi"/>
      <w:b/>
      <w:color w:val="00528E"/>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92773"/>
    <w:rPr>
      <w:rFonts w:eastAsiaTheme="majorEastAsia" w:cstheme="majorBidi"/>
      <w:b/>
      <w:color w:val="00528E"/>
      <w:sz w:val="24"/>
      <w:szCs w:val="28"/>
    </w:rPr>
  </w:style>
  <w:style w:type="table" w:customStyle="1" w:styleId="GridTable1Light-Accent11">
    <w:name w:val="Grid Table 1 Light - Accent 11"/>
    <w:basedOn w:val="TableNormal"/>
    <w:uiPriority w:val="46"/>
    <w:rsid w:val="00792773"/>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LightShading-Accent11">
    <w:name w:val="Light Shading - Accent 11"/>
    <w:basedOn w:val="TableNormal"/>
    <w:uiPriority w:val="60"/>
    <w:rsid w:val="00792773"/>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
    <w:name w:val="Grid Table 4 - Accent 11"/>
    <w:basedOn w:val="TableNormal"/>
    <w:uiPriority w:val="49"/>
    <w:rsid w:val="00792773"/>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text">
    <w:name w:val="Table text"/>
    <w:basedOn w:val="Normal"/>
    <w:autoRedefine/>
    <w:rsid w:val="00792773"/>
    <w:pPr>
      <w:spacing w:line="256" w:lineRule="auto"/>
    </w:pPr>
    <w:rPr>
      <w:rFonts w:asciiTheme="majorHAnsi" w:eastAsia="Times New Roman" w:hAnsiTheme="majorHAnsi" w:cs="Times New Roman"/>
      <w:sz w:val="22"/>
      <w:szCs w:val="22"/>
    </w:rPr>
  </w:style>
  <w:style w:type="table" w:customStyle="1" w:styleId="Tablaconcuadrcula2">
    <w:name w:val="Tabla con cuadrícula2"/>
    <w:basedOn w:val="TableNormal"/>
    <w:next w:val="TableGrid"/>
    <w:rsid w:val="00792773"/>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1">
    <w:name w:val="Grid Table 1 Light - Accent 111"/>
    <w:basedOn w:val="TableNormal"/>
    <w:uiPriority w:val="46"/>
    <w:rsid w:val="00792773"/>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12">
    <w:name w:val="Grid Table 1 Light - Accent 112"/>
    <w:basedOn w:val="TableNormal"/>
    <w:uiPriority w:val="46"/>
    <w:rsid w:val="00792773"/>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TableGrid">
    <w:name w:val="Table Grid"/>
    <w:basedOn w:val="TableNormal"/>
    <w:uiPriority w:val="39"/>
    <w:rsid w:val="00792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49C3"/>
    <w:pPr>
      <w:tabs>
        <w:tab w:val="center" w:pos="4513"/>
        <w:tab w:val="right" w:pos="9026"/>
      </w:tabs>
    </w:pPr>
  </w:style>
  <w:style w:type="character" w:customStyle="1" w:styleId="HeaderChar">
    <w:name w:val="Header Char"/>
    <w:basedOn w:val="DefaultParagraphFont"/>
    <w:link w:val="Header"/>
    <w:uiPriority w:val="99"/>
    <w:rsid w:val="009C49C3"/>
    <w:rPr>
      <w:sz w:val="24"/>
      <w:szCs w:val="24"/>
    </w:rPr>
  </w:style>
  <w:style w:type="paragraph" w:styleId="Footer">
    <w:name w:val="footer"/>
    <w:basedOn w:val="Normal"/>
    <w:link w:val="FooterChar"/>
    <w:uiPriority w:val="99"/>
    <w:unhideWhenUsed/>
    <w:rsid w:val="009C49C3"/>
    <w:pPr>
      <w:tabs>
        <w:tab w:val="center" w:pos="4513"/>
        <w:tab w:val="right" w:pos="9026"/>
      </w:tabs>
    </w:pPr>
  </w:style>
  <w:style w:type="character" w:customStyle="1" w:styleId="FooterChar">
    <w:name w:val="Footer Char"/>
    <w:basedOn w:val="DefaultParagraphFont"/>
    <w:link w:val="Footer"/>
    <w:uiPriority w:val="99"/>
    <w:rsid w:val="009C49C3"/>
    <w:rPr>
      <w:sz w:val="24"/>
      <w:szCs w:val="24"/>
    </w:rPr>
  </w:style>
  <w:style w:type="paragraph" w:styleId="Revision">
    <w:name w:val="Revision"/>
    <w:hidden/>
    <w:uiPriority w:val="99"/>
    <w:semiHidden/>
    <w:rsid w:val="000F0803"/>
    <w:pPr>
      <w:spacing w:after="0" w:line="240" w:lineRule="auto"/>
    </w:pPr>
    <w:rPr>
      <w:sz w:val="24"/>
      <w:szCs w:val="24"/>
    </w:rPr>
  </w:style>
  <w:style w:type="character" w:styleId="CommentReference">
    <w:name w:val="annotation reference"/>
    <w:basedOn w:val="DefaultParagraphFont"/>
    <w:uiPriority w:val="99"/>
    <w:semiHidden/>
    <w:unhideWhenUsed/>
    <w:rsid w:val="000F0803"/>
    <w:rPr>
      <w:sz w:val="16"/>
      <w:szCs w:val="16"/>
    </w:rPr>
  </w:style>
  <w:style w:type="paragraph" w:styleId="CommentText">
    <w:name w:val="annotation text"/>
    <w:basedOn w:val="Normal"/>
    <w:link w:val="CommentTextChar"/>
    <w:uiPriority w:val="99"/>
    <w:unhideWhenUsed/>
    <w:rsid w:val="000F0803"/>
    <w:rPr>
      <w:sz w:val="20"/>
      <w:szCs w:val="20"/>
    </w:rPr>
  </w:style>
  <w:style w:type="character" w:customStyle="1" w:styleId="CommentTextChar">
    <w:name w:val="Comment Text Char"/>
    <w:basedOn w:val="DefaultParagraphFont"/>
    <w:link w:val="CommentText"/>
    <w:uiPriority w:val="99"/>
    <w:rsid w:val="000F0803"/>
    <w:rPr>
      <w:sz w:val="20"/>
      <w:szCs w:val="20"/>
    </w:rPr>
  </w:style>
  <w:style w:type="paragraph" w:styleId="CommentSubject">
    <w:name w:val="annotation subject"/>
    <w:basedOn w:val="CommentText"/>
    <w:next w:val="CommentText"/>
    <w:link w:val="CommentSubjectChar"/>
    <w:uiPriority w:val="99"/>
    <w:semiHidden/>
    <w:unhideWhenUsed/>
    <w:rsid w:val="000F0803"/>
    <w:rPr>
      <w:b/>
      <w:bCs/>
    </w:rPr>
  </w:style>
  <w:style w:type="character" w:customStyle="1" w:styleId="CommentSubjectChar">
    <w:name w:val="Comment Subject Char"/>
    <w:basedOn w:val="CommentTextChar"/>
    <w:link w:val="CommentSubject"/>
    <w:uiPriority w:val="99"/>
    <w:semiHidden/>
    <w:rsid w:val="000F0803"/>
    <w:rPr>
      <w:b/>
      <w:bCs/>
      <w:sz w:val="20"/>
      <w:szCs w:val="20"/>
    </w:rPr>
  </w:style>
  <w:style w:type="character" w:styleId="PageNumber">
    <w:name w:val="page number"/>
    <w:basedOn w:val="DefaultParagraphFont"/>
    <w:uiPriority w:val="99"/>
    <w:semiHidden/>
    <w:unhideWhenUsed/>
    <w:rsid w:val="00E46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AFCD26-6F35-4400-9033-6616BD399EAB}">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2.xml><?xml version="1.0" encoding="utf-8"?>
<ds:datastoreItem xmlns:ds="http://schemas.openxmlformats.org/officeDocument/2006/customXml" ds:itemID="{7677FC1E-5652-4BF0-863E-3EBF90BEE58A}">
  <ds:schemaRefs>
    <ds:schemaRef ds:uri="http://schemas.microsoft.com/sharepoint/v3/contenttype/forms"/>
  </ds:schemaRefs>
</ds:datastoreItem>
</file>

<file path=customXml/itemProps3.xml><?xml version="1.0" encoding="utf-8"?>
<ds:datastoreItem xmlns:ds="http://schemas.openxmlformats.org/officeDocument/2006/customXml" ds:itemID="{99479F15-EAA8-414E-B15B-D60AB0BFE0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1459</Words>
  <Characters>8936</Characters>
  <Application>Microsoft Office Word</Application>
  <DocSecurity>0</DocSecurity>
  <Lines>255</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Karma Tenzin</dc:creator>
  <cp:keywords/>
  <dc:description/>
  <cp:lastModifiedBy>Yamrote Alemu</cp:lastModifiedBy>
  <cp:revision>21</cp:revision>
  <dcterms:created xsi:type="dcterms:W3CDTF">2018-12-02T10:26:00Z</dcterms:created>
  <dcterms:modified xsi:type="dcterms:W3CDTF">2026-01-23T09:14:00Z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